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C9A4" w14:textId="77777777" w:rsidR="00796DE5" w:rsidRPr="000304A1" w:rsidRDefault="00796DE5" w:rsidP="000304A1">
      <w:pPr>
        <w:spacing w:after="0"/>
        <w:jc w:val="center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Verdana" w:hAnsi="Verdana"/>
          <w:b/>
          <w:bCs/>
          <w:color w:val="A4B26D"/>
          <w:lang w:val="en-US"/>
        </w:rPr>
        <w:t>Key Takeaways from Taxand Training Tuesday: Financial Transactions under OECD Chapter X</w:t>
      </w:r>
    </w:p>
    <w:p w14:paraId="31B1512D" w14:textId="77777777" w:rsidR="000304A1" w:rsidRDefault="000304A1" w:rsidP="000304A1">
      <w:pPr>
        <w:spacing w:after="0"/>
        <w:rPr>
          <w:rFonts w:ascii="Verdana" w:hAnsi="Verdana"/>
          <w:color w:val="002060"/>
          <w:lang w:val="en-US"/>
        </w:rPr>
      </w:pPr>
    </w:p>
    <w:p w14:paraId="56797989" w14:textId="32DF0AE2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This week’s </w:t>
      </w:r>
      <w:r w:rsidR="00292BAD" w:rsidRPr="00346C77">
        <w:rPr>
          <w:rFonts w:ascii="Verdana" w:hAnsi="Verdana"/>
          <w:color w:val="002060"/>
          <w:lang w:val="en-US"/>
        </w:rPr>
        <w:t xml:space="preserve">Training Tuesday </w:t>
      </w:r>
      <w:r w:rsidRPr="00346C77">
        <w:rPr>
          <w:rFonts w:ascii="Verdana" w:hAnsi="Verdana"/>
          <w:color w:val="002060"/>
          <w:lang w:val="en-US"/>
        </w:rPr>
        <w:t xml:space="preserve">provided an insightful deep dive into </w:t>
      </w:r>
      <w:r w:rsidRPr="00346C77">
        <w:rPr>
          <w:rFonts w:ascii="Verdana" w:hAnsi="Verdana"/>
          <w:b/>
          <w:bCs/>
          <w:color w:val="002060"/>
          <w:lang w:val="en-US"/>
        </w:rPr>
        <w:t>Chapter X of the OECD Transfer Pricing Guidelines</w:t>
      </w:r>
      <w:r w:rsidRPr="00346C77">
        <w:rPr>
          <w:rFonts w:ascii="Verdana" w:hAnsi="Verdana"/>
          <w:color w:val="002060"/>
          <w:lang w:val="en-US"/>
        </w:rPr>
        <w:t xml:space="preserve">, with a strong focus on </w:t>
      </w:r>
      <w:r w:rsidRPr="00346C77">
        <w:rPr>
          <w:rFonts w:ascii="Verdana" w:hAnsi="Verdana"/>
          <w:b/>
          <w:bCs/>
          <w:color w:val="002060"/>
          <w:lang w:val="en-US"/>
        </w:rPr>
        <w:t>intra-group loans and guarantees</w:t>
      </w:r>
      <w:r w:rsidRPr="00346C77">
        <w:rPr>
          <w:rFonts w:ascii="Verdana" w:hAnsi="Verdana"/>
          <w:color w:val="002060"/>
          <w:lang w:val="en-US"/>
        </w:rPr>
        <w:t xml:space="preserve">. Our experts, </w:t>
      </w:r>
      <w:r w:rsidRPr="00346C77">
        <w:rPr>
          <w:rFonts w:ascii="Verdana" w:hAnsi="Verdana"/>
          <w:b/>
          <w:bCs/>
          <w:color w:val="002060"/>
          <w:lang w:val="en-US"/>
        </w:rPr>
        <w:t>Christos, Gaspar, and Rob</w:t>
      </w:r>
      <w:r w:rsidRPr="00346C77">
        <w:rPr>
          <w:rFonts w:ascii="Verdana" w:hAnsi="Verdana"/>
          <w:color w:val="002060"/>
          <w:lang w:val="en-US"/>
        </w:rPr>
        <w:t>, shared practical examples and real-world perspectives to help participants better understand how to apply these complex guidelines in everyday practice.</w:t>
      </w:r>
    </w:p>
    <w:p w14:paraId="0D385843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Here are the main takeaways, designed to clarify and reinforce what was covered:</w:t>
      </w:r>
    </w:p>
    <w:p w14:paraId="459EAD80" w14:textId="340F97F9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7372D2F3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🔍</w:t>
      </w:r>
      <w:r w:rsidRPr="000304A1">
        <w:rPr>
          <w:rFonts w:ascii="Verdana" w:hAnsi="Verdana"/>
          <w:b/>
          <w:bCs/>
          <w:color w:val="A4B26D"/>
          <w:lang w:val="en-US"/>
        </w:rPr>
        <w:t xml:space="preserve"> 1. Accurate Delineation: Understand the Transaction First</w:t>
      </w:r>
    </w:p>
    <w:p w14:paraId="1713B11C" w14:textId="77777777" w:rsidR="00796DE5" w:rsidRPr="00346C77" w:rsidRDefault="00796DE5" w:rsidP="000304A1">
      <w:pPr>
        <w:numPr>
          <w:ilvl w:val="0"/>
          <w:numId w:val="2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Before pricing any </w:t>
      </w:r>
      <w:r w:rsidRPr="00346C77">
        <w:rPr>
          <w:rFonts w:ascii="Verdana" w:hAnsi="Verdana"/>
          <w:b/>
          <w:bCs/>
          <w:color w:val="002060"/>
          <w:lang w:val="en-US"/>
        </w:rPr>
        <w:t>intra-group financial transaction</w:t>
      </w:r>
      <w:r w:rsidRPr="00346C77">
        <w:rPr>
          <w:rFonts w:ascii="Verdana" w:hAnsi="Verdana"/>
          <w:color w:val="002060"/>
          <w:lang w:val="en-US"/>
        </w:rPr>
        <w:t xml:space="preserve">, the </w:t>
      </w:r>
      <w:r w:rsidRPr="00346C77">
        <w:rPr>
          <w:rFonts w:ascii="Verdana" w:hAnsi="Verdana"/>
          <w:b/>
          <w:bCs/>
          <w:color w:val="002060"/>
          <w:lang w:val="en-US"/>
        </w:rPr>
        <w:t>accurate delineation</w:t>
      </w:r>
      <w:r w:rsidRPr="00346C77">
        <w:rPr>
          <w:rFonts w:ascii="Verdana" w:hAnsi="Verdana"/>
          <w:color w:val="002060"/>
          <w:lang w:val="en-US"/>
        </w:rPr>
        <w:t xml:space="preserve"> of the transaction is essential.</w:t>
      </w:r>
    </w:p>
    <w:p w14:paraId="697E4A53" w14:textId="77777777" w:rsidR="00796DE5" w:rsidRPr="00346C77" w:rsidRDefault="00796DE5" w:rsidP="000304A1">
      <w:pPr>
        <w:numPr>
          <w:ilvl w:val="0"/>
          <w:numId w:val="2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This involves analyzing the </w:t>
      </w:r>
      <w:r w:rsidRPr="00346C77">
        <w:rPr>
          <w:rFonts w:ascii="Verdana" w:hAnsi="Verdana"/>
          <w:b/>
          <w:bCs/>
          <w:color w:val="002060"/>
          <w:lang w:val="en-US"/>
        </w:rPr>
        <w:t>substance over form</w:t>
      </w:r>
      <w:r w:rsidRPr="00346C77">
        <w:rPr>
          <w:rFonts w:ascii="Verdana" w:hAnsi="Verdana"/>
          <w:color w:val="002060"/>
          <w:lang w:val="en-US"/>
        </w:rPr>
        <w:t>: what is really happening economically, regardless of legal labels.</w:t>
      </w:r>
    </w:p>
    <w:p w14:paraId="2CF6331C" w14:textId="77777777" w:rsidR="00796DE5" w:rsidRPr="00346C77" w:rsidRDefault="00796DE5" w:rsidP="000304A1">
      <w:pPr>
        <w:numPr>
          <w:ilvl w:val="0"/>
          <w:numId w:val="2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Use the </w:t>
      </w:r>
      <w:r w:rsidRPr="00346C77">
        <w:rPr>
          <w:rFonts w:ascii="Verdana" w:hAnsi="Verdana"/>
          <w:b/>
          <w:bCs/>
          <w:color w:val="002060"/>
          <w:lang w:val="en-US"/>
        </w:rPr>
        <w:t>five comparability factors</w:t>
      </w:r>
      <w:r w:rsidRPr="00346C77">
        <w:rPr>
          <w:rFonts w:ascii="Verdana" w:hAnsi="Verdana"/>
          <w:color w:val="002060"/>
          <w:lang w:val="en-US"/>
        </w:rPr>
        <w:t xml:space="preserve"> from Chapter I (functions, assets, risks, contractual terms, economic circumstances, and business strategies).</w:t>
      </w:r>
    </w:p>
    <w:p w14:paraId="7C1394A8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Always consider both perspectives – the </w:t>
      </w:r>
      <w:r w:rsidRPr="00346C77">
        <w:rPr>
          <w:rFonts w:ascii="Verdana" w:hAnsi="Verdana"/>
          <w:b/>
          <w:bCs/>
          <w:color w:val="002060"/>
          <w:lang w:val="en-US"/>
        </w:rPr>
        <w:t>lender’s</w:t>
      </w:r>
      <w:r w:rsidRPr="00346C77">
        <w:rPr>
          <w:rFonts w:ascii="Verdana" w:hAnsi="Verdana"/>
          <w:color w:val="002060"/>
          <w:lang w:val="en-US"/>
        </w:rPr>
        <w:t xml:space="preserve"> and the </w:t>
      </w:r>
      <w:r w:rsidRPr="00346C77">
        <w:rPr>
          <w:rFonts w:ascii="Verdana" w:hAnsi="Verdana"/>
          <w:b/>
          <w:bCs/>
          <w:color w:val="002060"/>
          <w:lang w:val="en-US"/>
        </w:rPr>
        <w:t>borrower’s</w:t>
      </w:r>
      <w:r w:rsidRPr="00346C77">
        <w:rPr>
          <w:rFonts w:ascii="Verdana" w:hAnsi="Verdana"/>
          <w:color w:val="002060"/>
          <w:lang w:val="en-US"/>
        </w:rPr>
        <w:t xml:space="preserve"> – in your functional analysis.</w:t>
      </w:r>
    </w:p>
    <w:p w14:paraId="163AE8EB" w14:textId="55460BAA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6D064AD2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💰</w:t>
      </w:r>
      <w:r w:rsidRPr="000304A1">
        <w:rPr>
          <w:rFonts w:ascii="Verdana" w:hAnsi="Verdana"/>
          <w:b/>
          <w:bCs/>
          <w:color w:val="A4B26D"/>
          <w:lang w:val="en-US"/>
        </w:rPr>
        <w:t xml:space="preserve"> 2. Intra-Group Loans: Debt or Equity?</w:t>
      </w:r>
    </w:p>
    <w:p w14:paraId="2571571F" w14:textId="77777777" w:rsidR="00796DE5" w:rsidRPr="00346C77" w:rsidRDefault="00796DE5" w:rsidP="000304A1">
      <w:pPr>
        <w:numPr>
          <w:ilvl w:val="0"/>
          <w:numId w:val="3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One of the first questions: </w:t>
      </w:r>
      <w:r w:rsidRPr="00346C77">
        <w:rPr>
          <w:rFonts w:ascii="Verdana" w:hAnsi="Verdana"/>
          <w:b/>
          <w:bCs/>
          <w:color w:val="002060"/>
          <w:lang w:val="en-US"/>
        </w:rPr>
        <w:t>Is it truly a loan, or closer to equity?</w:t>
      </w:r>
    </w:p>
    <w:p w14:paraId="08280B6B" w14:textId="77777777" w:rsidR="00796DE5" w:rsidRPr="00346C77" w:rsidRDefault="00796DE5" w:rsidP="000304A1">
      <w:pPr>
        <w:numPr>
          <w:ilvl w:val="0"/>
          <w:numId w:val="3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Tax authorities may </w:t>
      </w:r>
      <w:r w:rsidRPr="00346C77">
        <w:rPr>
          <w:rFonts w:ascii="Verdana" w:hAnsi="Verdana"/>
          <w:b/>
          <w:bCs/>
          <w:color w:val="002060"/>
          <w:lang w:val="en-US"/>
        </w:rPr>
        <w:t>recharacterize</w:t>
      </w:r>
      <w:r w:rsidRPr="00346C77">
        <w:rPr>
          <w:rFonts w:ascii="Verdana" w:hAnsi="Verdana"/>
          <w:color w:val="002060"/>
          <w:lang w:val="en-US"/>
        </w:rPr>
        <w:t xml:space="preserve"> transactions that do not make commercial sense, often treating them as </w:t>
      </w:r>
      <w:r w:rsidRPr="00346C77">
        <w:rPr>
          <w:rFonts w:ascii="Verdana" w:hAnsi="Verdana"/>
          <w:b/>
          <w:bCs/>
          <w:color w:val="002060"/>
          <w:lang w:val="en-US"/>
        </w:rPr>
        <w:t>dividends</w:t>
      </w:r>
      <w:r w:rsidRPr="00346C77">
        <w:rPr>
          <w:rFonts w:ascii="Verdana" w:hAnsi="Verdana"/>
          <w:color w:val="002060"/>
          <w:lang w:val="en-US"/>
        </w:rPr>
        <w:t xml:space="preserve"> or </w:t>
      </w:r>
      <w:r w:rsidRPr="00346C77">
        <w:rPr>
          <w:rFonts w:ascii="Verdana" w:hAnsi="Verdana"/>
          <w:b/>
          <w:bCs/>
          <w:color w:val="002060"/>
          <w:lang w:val="en-US"/>
        </w:rPr>
        <w:t>capital contributions</w:t>
      </w:r>
      <w:r w:rsidRPr="00346C77">
        <w:rPr>
          <w:rFonts w:ascii="Verdana" w:hAnsi="Verdana"/>
          <w:color w:val="002060"/>
          <w:lang w:val="en-US"/>
        </w:rPr>
        <w:t>.</w:t>
      </w:r>
    </w:p>
    <w:p w14:paraId="034AC278" w14:textId="77777777" w:rsidR="00796DE5" w:rsidRPr="00346C77" w:rsidRDefault="00796DE5" w:rsidP="000304A1">
      <w:pPr>
        <w:numPr>
          <w:ilvl w:val="0"/>
          <w:numId w:val="3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Common red flags include </w:t>
      </w:r>
      <w:r w:rsidRPr="00346C77">
        <w:rPr>
          <w:rFonts w:ascii="Verdana" w:hAnsi="Verdana"/>
          <w:b/>
          <w:bCs/>
          <w:color w:val="002060"/>
          <w:lang w:val="en-US"/>
        </w:rPr>
        <w:t>interest-free loans</w:t>
      </w:r>
      <w:r w:rsidRPr="00346C77">
        <w:rPr>
          <w:rFonts w:ascii="Verdana" w:hAnsi="Verdana"/>
          <w:color w:val="002060"/>
          <w:lang w:val="en-US"/>
        </w:rPr>
        <w:t xml:space="preserve">, </w:t>
      </w:r>
      <w:r w:rsidRPr="00346C77">
        <w:rPr>
          <w:rFonts w:ascii="Verdana" w:hAnsi="Verdana"/>
          <w:b/>
          <w:bCs/>
          <w:color w:val="002060"/>
          <w:lang w:val="en-US"/>
        </w:rPr>
        <w:t>excessive leverage</w:t>
      </w:r>
      <w:r w:rsidRPr="00346C77">
        <w:rPr>
          <w:rFonts w:ascii="Verdana" w:hAnsi="Verdana"/>
          <w:color w:val="002060"/>
          <w:lang w:val="en-US"/>
        </w:rPr>
        <w:t xml:space="preserve">, or </w:t>
      </w:r>
      <w:r w:rsidRPr="00346C77">
        <w:rPr>
          <w:rFonts w:ascii="Verdana" w:hAnsi="Verdana"/>
          <w:b/>
          <w:bCs/>
          <w:color w:val="002060"/>
          <w:lang w:val="en-US"/>
        </w:rPr>
        <w:t>lack of repayment terms</w:t>
      </w:r>
      <w:r w:rsidRPr="00346C77">
        <w:rPr>
          <w:rFonts w:ascii="Verdana" w:hAnsi="Verdana"/>
          <w:color w:val="002060"/>
          <w:lang w:val="en-US"/>
        </w:rPr>
        <w:t>.</w:t>
      </w:r>
    </w:p>
    <w:p w14:paraId="66132AB7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A borrower with </w:t>
      </w:r>
      <w:r w:rsidRPr="00346C77">
        <w:rPr>
          <w:rFonts w:ascii="Verdana" w:hAnsi="Verdana"/>
          <w:b/>
          <w:bCs/>
          <w:color w:val="002060"/>
          <w:lang w:val="en-US"/>
        </w:rPr>
        <w:t>low creditworthiness and no debt capacity</w:t>
      </w:r>
      <w:r w:rsidRPr="00346C77">
        <w:rPr>
          <w:rFonts w:ascii="Verdana" w:hAnsi="Verdana"/>
          <w:color w:val="002060"/>
          <w:lang w:val="en-US"/>
        </w:rPr>
        <w:t xml:space="preserve"> may not get a loan from a third party – this must be reflected in your pricing and documentation.</w:t>
      </w:r>
    </w:p>
    <w:p w14:paraId="085AA65F" w14:textId="7B3A5B49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18AD469B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🧠</w:t>
      </w:r>
      <w:r w:rsidRPr="000304A1">
        <w:rPr>
          <w:rFonts w:ascii="Verdana" w:hAnsi="Verdana"/>
          <w:b/>
          <w:bCs/>
          <w:color w:val="A4B26D"/>
          <w:lang w:val="en-US"/>
        </w:rPr>
        <w:t xml:space="preserve"> 3. Functional and Economic Analysis: Go Beyond the Obvious</w:t>
      </w:r>
    </w:p>
    <w:p w14:paraId="4A7A75B6" w14:textId="77777777" w:rsidR="00796DE5" w:rsidRPr="00346C77" w:rsidRDefault="00796DE5" w:rsidP="000304A1">
      <w:pPr>
        <w:numPr>
          <w:ilvl w:val="0"/>
          <w:numId w:val="4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Pricing should not just consider interest rates but also </w:t>
      </w:r>
      <w:r w:rsidRPr="00346C77">
        <w:rPr>
          <w:rFonts w:ascii="Verdana" w:hAnsi="Verdana"/>
          <w:b/>
          <w:bCs/>
          <w:color w:val="002060"/>
          <w:lang w:val="en-US"/>
        </w:rPr>
        <w:t>all terms and conditions</w:t>
      </w:r>
      <w:r w:rsidRPr="00346C77">
        <w:rPr>
          <w:rFonts w:ascii="Verdana" w:hAnsi="Verdana"/>
          <w:color w:val="002060"/>
          <w:lang w:val="en-US"/>
        </w:rPr>
        <w:t xml:space="preserve"> of the loan, including:</w:t>
      </w:r>
    </w:p>
    <w:p w14:paraId="570292F2" w14:textId="77777777" w:rsidR="00796DE5" w:rsidRPr="00346C77" w:rsidRDefault="00796DE5" w:rsidP="000304A1">
      <w:pPr>
        <w:numPr>
          <w:ilvl w:val="1"/>
          <w:numId w:val="4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color w:val="002060"/>
        </w:rPr>
        <w:t>Maturity</w:t>
      </w:r>
      <w:proofErr w:type="spellEnd"/>
    </w:p>
    <w:p w14:paraId="18CC20DD" w14:textId="77777777" w:rsidR="00796DE5" w:rsidRPr="00346C77" w:rsidRDefault="00796DE5" w:rsidP="000304A1">
      <w:pPr>
        <w:numPr>
          <w:ilvl w:val="1"/>
          <w:numId w:val="4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color w:val="002060"/>
        </w:rPr>
        <w:t>Subordination</w:t>
      </w:r>
    </w:p>
    <w:p w14:paraId="6A1574AE" w14:textId="77777777" w:rsidR="00796DE5" w:rsidRPr="00346C77" w:rsidRDefault="00796DE5" w:rsidP="000304A1">
      <w:pPr>
        <w:numPr>
          <w:ilvl w:val="1"/>
          <w:numId w:val="4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color w:val="002060"/>
        </w:rPr>
        <w:t>Currency</w:t>
      </w:r>
    </w:p>
    <w:p w14:paraId="542A3278" w14:textId="77777777" w:rsidR="00796DE5" w:rsidRPr="00346C77" w:rsidRDefault="00796DE5" w:rsidP="000304A1">
      <w:pPr>
        <w:numPr>
          <w:ilvl w:val="1"/>
          <w:numId w:val="4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color w:val="002060"/>
        </w:rPr>
        <w:t>Repayment</w:t>
      </w:r>
      <w:proofErr w:type="spellEnd"/>
      <w:r w:rsidRPr="00346C77">
        <w:rPr>
          <w:rFonts w:ascii="Verdana" w:hAnsi="Verdana"/>
          <w:color w:val="002060"/>
        </w:rPr>
        <w:t xml:space="preserve"> </w:t>
      </w:r>
      <w:proofErr w:type="spellStart"/>
      <w:r w:rsidRPr="00346C77">
        <w:rPr>
          <w:rFonts w:ascii="Verdana" w:hAnsi="Verdana"/>
          <w:color w:val="002060"/>
        </w:rPr>
        <w:t>schedules</w:t>
      </w:r>
      <w:proofErr w:type="spellEnd"/>
    </w:p>
    <w:p w14:paraId="71DEF7B6" w14:textId="77777777" w:rsidR="00796DE5" w:rsidRPr="00346C77" w:rsidRDefault="00796DE5" w:rsidP="000304A1">
      <w:pPr>
        <w:numPr>
          <w:ilvl w:val="0"/>
          <w:numId w:val="4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lastRenderedPageBreak/>
        <w:t xml:space="preserve">Accurate pricing also involves checking </w:t>
      </w:r>
      <w:r w:rsidRPr="00346C77">
        <w:rPr>
          <w:rFonts w:ascii="Verdana" w:hAnsi="Verdana"/>
          <w:b/>
          <w:bCs/>
          <w:color w:val="002060"/>
          <w:lang w:val="en-US"/>
        </w:rPr>
        <w:t>available options</w:t>
      </w:r>
      <w:r w:rsidRPr="00346C77">
        <w:rPr>
          <w:rFonts w:ascii="Verdana" w:hAnsi="Verdana"/>
          <w:color w:val="002060"/>
          <w:lang w:val="en-US"/>
        </w:rPr>
        <w:t xml:space="preserve"> (the so-called "realistically available options" test) and evaluating </w:t>
      </w:r>
      <w:r w:rsidRPr="00346C77">
        <w:rPr>
          <w:rFonts w:ascii="Verdana" w:hAnsi="Verdana"/>
          <w:b/>
          <w:bCs/>
          <w:color w:val="002060"/>
          <w:lang w:val="en-US"/>
        </w:rPr>
        <w:t>debt capacity</w:t>
      </w:r>
      <w:r w:rsidRPr="00346C77">
        <w:rPr>
          <w:rFonts w:ascii="Verdana" w:hAnsi="Verdana"/>
          <w:color w:val="002060"/>
          <w:lang w:val="en-US"/>
        </w:rPr>
        <w:t>.</w:t>
      </w:r>
    </w:p>
    <w:p w14:paraId="11D20452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Use </w:t>
      </w:r>
      <w:r w:rsidRPr="00346C77">
        <w:rPr>
          <w:rFonts w:ascii="Verdana" w:hAnsi="Verdana"/>
          <w:b/>
          <w:bCs/>
          <w:color w:val="002060"/>
          <w:lang w:val="en-US"/>
        </w:rPr>
        <w:t>economic modeling</w:t>
      </w:r>
      <w:r w:rsidRPr="00346C77">
        <w:rPr>
          <w:rFonts w:ascii="Verdana" w:hAnsi="Verdana"/>
          <w:color w:val="002060"/>
          <w:lang w:val="en-US"/>
        </w:rPr>
        <w:t xml:space="preserve"> and </w:t>
      </w:r>
      <w:r w:rsidRPr="00346C77">
        <w:rPr>
          <w:rFonts w:ascii="Verdana" w:hAnsi="Verdana"/>
          <w:b/>
          <w:bCs/>
          <w:color w:val="002060"/>
          <w:lang w:val="en-US"/>
        </w:rPr>
        <w:t>credit rating simulations</w:t>
      </w:r>
      <w:r w:rsidRPr="00346C77">
        <w:rPr>
          <w:rFonts w:ascii="Verdana" w:hAnsi="Verdana"/>
          <w:color w:val="002060"/>
          <w:lang w:val="en-US"/>
        </w:rPr>
        <w:t xml:space="preserve"> to assess what a third party would realistically do.</w:t>
      </w:r>
    </w:p>
    <w:p w14:paraId="40FC735D" w14:textId="08CCFA41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2FE28BC1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🛠️</w:t>
      </w:r>
      <w:r w:rsidRPr="000304A1">
        <w:rPr>
          <w:rFonts w:ascii="Verdana" w:hAnsi="Verdana"/>
          <w:b/>
          <w:bCs/>
          <w:color w:val="A4B26D"/>
          <w:lang w:val="en-US"/>
        </w:rPr>
        <w:t xml:space="preserve"> 4. Pricing Methods: Choose Thoughtfully</w:t>
      </w:r>
    </w:p>
    <w:p w14:paraId="21184435" w14:textId="77777777" w:rsidR="00796DE5" w:rsidRPr="00346C77" w:rsidRDefault="00796DE5" w:rsidP="000304A1">
      <w:pPr>
        <w:numPr>
          <w:ilvl w:val="0"/>
          <w:numId w:val="5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Common methods for pricing loans include:</w:t>
      </w:r>
    </w:p>
    <w:p w14:paraId="3AFD579B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b/>
          <w:bCs/>
          <w:color w:val="002060"/>
        </w:rPr>
        <w:t xml:space="preserve">Comparable </w:t>
      </w:r>
      <w:proofErr w:type="spellStart"/>
      <w:r w:rsidRPr="00346C77">
        <w:rPr>
          <w:rFonts w:ascii="Verdana" w:hAnsi="Verdana"/>
          <w:b/>
          <w:bCs/>
          <w:color w:val="002060"/>
        </w:rPr>
        <w:t>Uncontrolled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Price (CUP)</w:t>
      </w:r>
    </w:p>
    <w:p w14:paraId="2416B18C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b/>
          <w:bCs/>
          <w:color w:val="002060"/>
        </w:rPr>
        <w:t>Cost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of </w:t>
      </w:r>
      <w:proofErr w:type="spellStart"/>
      <w:r w:rsidRPr="00346C77">
        <w:rPr>
          <w:rFonts w:ascii="Verdana" w:hAnsi="Verdana"/>
          <w:b/>
          <w:bCs/>
          <w:color w:val="002060"/>
        </w:rPr>
        <w:t>funds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+ spread</w:t>
      </w:r>
    </w:p>
    <w:p w14:paraId="15A61257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b/>
          <w:bCs/>
          <w:color w:val="002060"/>
        </w:rPr>
        <w:t>Economic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modeling</w:t>
      </w:r>
    </w:p>
    <w:p w14:paraId="1F1A5C37" w14:textId="77777777" w:rsidR="00796DE5" w:rsidRPr="00346C77" w:rsidRDefault="00796DE5" w:rsidP="000304A1">
      <w:pPr>
        <w:numPr>
          <w:ilvl w:val="0"/>
          <w:numId w:val="5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For guarantees, you can also use:</w:t>
      </w:r>
    </w:p>
    <w:p w14:paraId="51505DD5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b/>
          <w:bCs/>
          <w:color w:val="002060"/>
        </w:rPr>
        <w:t>Yield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approach</w:t>
      </w:r>
    </w:p>
    <w:p w14:paraId="132C8288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b/>
          <w:bCs/>
          <w:color w:val="002060"/>
        </w:rPr>
        <w:t>Cost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approach</w:t>
      </w:r>
    </w:p>
    <w:p w14:paraId="2D986031" w14:textId="77777777" w:rsidR="00796DE5" w:rsidRPr="00346C77" w:rsidRDefault="00796DE5" w:rsidP="000304A1">
      <w:pPr>
        <w:numPr>
          <w:ilvl w:val="1"/>
          <w:numId w:val="5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b/>
          <w:bCs/>
          <w:color w:val="002060"/>
        </w:rPr>
        <w:t xml:space="preserve">CUP for </w:t>
      </w:r>
      <w:proofErr w:type="spellStart"/>
      <w:r w:rsidRPr="00346C77">
        <w:rPr>
          <w:rFonts w:ascii="Verdana" w:hAnsi="Verdana"/>
          <w:b/>
          <w:bCs/>
          <w:color w:val="002060"/>
        </w:rPr>
        <w:t>similar</w:t>
      </w:r>
      <w:proofErr w:type="spellEnd"/>
      <w:r w:rsidRPr="00346C77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346C77">
        <w:rPr>
          <w:rFonts w:ascii="Verdana" w:hAnsi="Verdana"/>
          <w:b/>
          <w:bCs/>
          <w:color w:val="002060"/>
        </w:rPr>
        <w:t>guarantees</w:t>
      </w:r>
      <w:proofErr w:type="spellEnd"/>
    </w:p>
    <w:p w14:paraId="49AF07E6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</w:t>
      </w:r>
      <w:r w:rsidRPr="00346C77">
        <w:rPr>
          <w:rFonts w:ascii="Verdana" w:hAnsi="Verdana"/>
          <w:b/>
          <w:bCs/>
          <w:color w:val="002060"/>
          <w:lang w:val="en-US"/>
        </w:rPr>
        <w:t xml:space="preserve">Internal </w:t>
      </w:r>
      <w:proofErr w:type="spellStart"/>
      <w:r w:rsidRPr="00346C77">
        <w:rPr>
          <w:rFonts w:ascii="Verdana" w:hAnsi="Verdana"/>
          <w:b/>
          <w:bCs/>
          <w:color w:val="002060"/>
          <w:lang w:val="en-US"/>
        </w:rPr>
        <w:t>comparables</w:t>
      </w:r>
      <w:proofErr w:type="spellEnd"/>
      <w:r w:rsidRPr="00346C77">
        <w:rPr>
          <w:rFonts w:ascii="Verdana" w:hAnsi="Verdana"/>
          <w:color w:val="002060"/>
          <w:lang w:val="en-US"/>
        </w:rPr>
        <w:t xml:space="preserve"> can be helpful but must be carefully documented and consistent across entities.</w:t>
      </w:r>
    </w:p>
    <w:p w14:paraId="5ACEE310" w14:textId="3AA95778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4DE9B4DA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🤝</w:t>
      </w:r>
      <w:r w:rsidRPr="000304A1">
        <w:rPr>
          <w:rFonts w:ascii="Verdana" w:hAnsi="Verdana"/>
          <w:b/>
          <w:bCs/>
          <w:color w:val="A4B26D"/>
          <w:lang w:val="en-US"/>
        </w:rPr>
        <w:t xml:space="preserve"> 5. Guarantees: Not Always Obvious, But Always Important</w:t>
      </w:r>
    </w:p>
    <w:p w14:paraId="19CBF972" w14:textId="77777777" w:rsidR="00796DE5" w:rsidRPr="00346C77" w:rsidRDefault="00796DE5" w:rsidP="000304A1">
      <w:pPr>
        <w:numPr>
          <w:ilvl w:val="0"/>
          <w:numId w:val="6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b/>
          <w:bCs/>
          <w:color w:val="002060"/>
          <w:lang w:val="en-US"/>
        </w:rPr>
        <w:t>Intercompany guarantees</w:t>
      </w:r>
      <w:r w:rsidRPr="00346C77">
        <w:rPr>
          <w:rFonts w:ascii="Verdana" w:hAnsi="Verdana"/>
          <w:color w:val="002060"/>
          <w:lang w:val="en-US"/>
        </w:rPr>
        <w:t xml:space="preserve"> can be </w:t>
      </w:r>
      <w:r w:rsidRPr="00346C77">
        <w:rPr>
          <w:rFonts w:ascii="Verdana" w:hAnsi="Verdana"/>
          <w:b/>
          <w:bCs/>
          <w:color w:val="002060"/>
          <w:lang w:val="en-US"/>
        </w:rPr>
        <w:t>explicit</w:t>
      </w:r>
      <w:r w:rsidRPr="00346C77">
        <w:rPr>
          <w:rFonts w:ascii="Verdana" w:hAnsi="Verdana"/>
          <w:color w:val="002060"/>
          <w:lang w:val="en-US"/>
        </w:rPr>
        <w:t xml:space="preserve"> (written contracts) or </w:t>
      </w:r>
      <w:r w:rsidRPr="00346C77">
        <w:rPr>
          <w:rFonts w:ascii="Verdana" w:hAnsi="Verdana"/>
          <w:b/>
          <w:bCs/>
          <w:color w:val="002060"/>
          <w:lang w:val="en-US"/>
        </w:rPr>
        <w:t>implicit</w:t>
      </w:r>
      <w:r w:rsidRPr="00346C77">
        <w:rPr>
          <w:rFonts w:ascii="Verdana" w:hAnsi="Verdana"/>
          <w:color w:val="002060"/>
          <w:lang w:val="en-US"/>
        </w:rPr>
        <w:t xml:space="preserve"> (expected support based on group structure).</w:t>
      </w:r>
    </w:p>
    <w:p w14:paraId="412D539F" w14:textId="77777777" w:rsidR="00796DE5" w:rsidRPr="00346C77" w:rsidRDefault="00796DE5" w:rsidP="000304A1">
      <w:pPr>
        <w:numPr>
          <w:ilvl w:val="0"/>
          <w:numId w:val="6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Key benefits include better financing terms or improved access to capital.</w:t>
      </w:r>
    </w:p>
    <w:p w14:paraId="02EDC000" w14:textId="77777777" w:rsidR="00796DE5" w:rsidRPr="00346C77" w:rsidRDefault="00796DE5" w:rsidP="000304A1">
      <w:pPr>
        <w:numPr>
          <w:ilvl w:val="0"/>
          <w:numId w:val="6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These benefits must be reflected in the </w:t>
      </w:r>
      <w:proofErr w:type="gramStart"/>
      <w:r w:rsidRPr="00346C77">
        <w:rPr>
          <w:rFonts w:ascii="Verdana" w:hAnsi="Verdana"/>
          <w:b/>
          <w:bCs/>
          <w:color w:val="002060"/>
          <w:lang w:val="en-US"/>
        </w:rPr>
        <w:t>guarantee</w:t>
      </w:r>
      <w:proofErr w:type="gramEnd"/>
      <w:r w:rsidRPr="00346C77">
        <w:rPr>
          <w:rFonts w:ascii="Verdana" w:hAnsi="Verdana"/>
          <w:b/>
          <w:bCs/>
          <w:color w:val="002060"/>
          <w:lang w:val="en-US"/>
        </w:rPr>
        <w:t xml:space="preserve"> fee</w:t>
      </w:r>
      <w:r w:rsidRPr="00346C77">
        <w:rPr>
          <w:rFonts w:ascii="Verdana" w:hAnsi="Verdana"/>
          <w:color w:val="002060"/>
          <w:lang w:val="en-US"/>
        </w:rPr>
        <w:t xml:space="preserve"> (e.g., 2% in the example discussed).</w:t>
      </w:r>
    </w:p>
    <w:p w14:paraId="75EB6D2E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Align your </w:t>
      </w:r>
      <w:r w:rsidRPr="00346C77">
        <w:rPr>
          <w:rFonts w:ascii="Verdana" w:hAnsi="Verdana"/>
          <w:b/>
          <w:bCs/>
          <w:color w:val="002060"/>
          <w:lang w:val="en-US"/>
        </w:rPr>
        <w:t>intercompany agreements with actual conduct</w:t>
      </w:r>
      <w:r w:rsidRPr="00346C77">
        <w:rPr>
          <w:rFonts w:ascii="Verdana" w:hAnsi="Verdana"/>
          <w:color w:val="002060"/>
          <w:lang w:val="en-US"/>
        </w:rPr>
        <w:t>. Discrepancies are often challenged by tax authorities.</w:t>
      </w:r>
    </w:p>
    <w:p w14:paraId="63C86BDB" w14:textId="0D8D77DB" w:rsidR="00796DE5" w:rsidRPr="00346C77" w:rsidRDefault="00796DE5" w:rsidP="000304A1">
      <w:pPr>
        <w:spacing w:after="0"/>
        <w:rPr>
          <w:rFonts w:ascii="Verdana" w:hAnsi="Verdana"/>
          <w:color w:val="002060"/>
        </w:rPr>
      </w:pPr>
    </w:p>
    <w:p w14:paraId="1ADEA1ED" w14:textId="77777777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</w:rPr>
      </w:pPr>
      <w:r w:rsidRPr="000304A1">
        <w:rPr>
          <w:rFonts w:ascii="Segoe UI Emoji" w:hAnsi="Segoe UI Emoji" w:cs="Segoe UI Emoji"/>
          <w:b/>
          <w:bCs/>
          <w:color w:val="A4B26D"/>
        </w:rPr>
        <w:t>📚</w:t>
      </w:r>
      <w:r w:rsidRPr="000304A1">
        <w:rPr>
          <w:rFonts w:ascii="Verdana" w:hAnsi="Verdana"/>
          <w:b/>
          <w:bCs/>
          <w:color w:val="A4B26D"/>
        </w:rPr>
        <w:t xml:space="preserve"> 6. Documentation is Critical</w:t>
      </w:r>
    </w:p>
    <w:p w14:paraId="69F6D41E" w14:textId="77777777" w:rsidR="00796DE5" w:rsidRPr="00346C77" w:rsidRDefault="00796DE5" w:rsidP="000304A1">
      <w:pPr>
        <w:numPr>
          <w:ilvl w:val="0"/>
          <w:numId w:val="7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Ensure you meet the </w:t>
      </w:r>
      <w:r w:rsidRPr="00346C77">
        <w:rPr>
          <w:rFonts w:ascii="Verdana" w:hAnsi="Verdana"/>
          <w:b/>
          <w:bCs/>
          <w:color w:val="002060"/>
          <w:lang w:val="en-US"/>
        </w:rPr>
        <w:t>documentation requirements</w:t>
      </w:r>
      <w:r w:rsidRPr="00346C77">
        <w:rPr>
          <w:rFonts w:ascii="Verdana" w:hAnsi="Verdana"/>
          <w:color w:val="002060"/>
          <w:lang w:val="en-US"/>
        </w:rPr>
        <w:t xml:space="preserve"> in your jurisdiction – some countries go </w:t>
      </w:r>
      <w:r w:rsidRPr="00346C77">
        <w:rPr>
          <w:rFonts w:ascii="Verdana" w:hAnsi="Verdana"/>
          <w:b/>
          <w:bCs/>
          <w:color w:val="002060"/>
          <w:lang w:val="en-US"/>
        </w:rPr>
        <w:t>beyond OECD standards</w:t>
      </w:r>
      <w:r w:rsidRPr="00346C77">
        <w:rPr>
          <w:rFonts w:ascii="Verdana" w:hAnsi="Verdana"/>
          <w:color w:val="002060"/>
          <w:lang w:val="en-US"/>
        </w:rPr>
        <w:t>.</w:t>
      </w:r>
    </w:p>
    <w:p w14:paraId="3D3466A1" w14:textId="77777777" w:rsidR="00796DE5" w:rsidRPr="00346C77" w:rsidRDefault="00796DE5" w:rsidP="000304A1">
      <w:pPr>
        <w:numPr>
          <w:ilvl w:val="0"/>
          <w:numId w:val="7"/>
        </w:num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Keep a clear record of:</w:t>
      </w:r>
    </w:p>
    <w:p w14:paraId="1E51FF43" w14:textId="77777777" w:rsidR="00796DE5" w:rsidRPr="00346C77" w:rsidRDefault="00796DE5" w:rsidP="000304A1">
      <w:pPr>
        <w:numPr>
          <w:ilvl w:val="1"/>
          <w:numId w:val="7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color w:val="002060"/>
        </w:rPr>
        <w:t>Functional</w:t>
      </w:r>
      <w:proofErr w:type="spellEnd"/>
      <w:r w:rsidRPr="00346C77">
        <w:rPr>
          <w:rFonts w:ascii="Verdana" w:hAnsi="Verdana"/>
          <w:color w:val="002060"/>
        </w:rPr>
        <w:t xml:space="preserve"> analyses</w:t>
      </w:r>
    </w:p>
    <w:p w14:paraId="4ABA7FD6" w14:textId="77777777" w:rsidR="00796DE5" w:rsidRPr="00346C77" w:rsidRDefault="00796DE5" w:rsidP="000304A1">
      <w:pPr>
        <w:numPr>
          <w:ilvl w:val="1"/>
          <w:numId w:val="7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color w:val="002060"/>
        </w:rPr>
        <w:t xml:space="preserve">Pricing </w:t>
      </w:r>
      <w:proofErr w:type="spellStart"/>
      <w:r w:rsidRPr="00346C77">
        <w:rPr>
          <w:rFonts w:ascii="Verdana" w:hAnsi="Verdana"/>
          <w:color w:val="002060"/>
        </w:rPr>
        <w:t>methodology</w:t>
      </w:r>
      <w:proofErr w:type="spellEnd"/>
    </w:p>
    <w:p w14:paraId="6FC70E0E" w14:textId="77777777" w:rsidR="00796DE5" w:rsidRPr="00346C77" w:rsidRDefault="00796DE5" w:rsidP="000304A1">
      <w:pPr>
        <w:numPr>
          <w:ilvl w:val="1"/>
          <w:numId w:val="7"/>
        </w:numPr>
        <w:spacing w:after="0"/>
        <w:rPr>
          <w:rFonts w:ascii="Verdana" w:hAnsi="Verdana"/>
          <w:color w:val="002060"/>
        </w:rPr>
      </w:pPr>
      <w:r w:rsidRPr="00346C77">
        <w:rPr>
          <w:rFonts w:ascii="Verdana" w:hAnsi="Verdana"/>
          <w:color w:val="002060"/>
        </w:rPr>
        <w:t>Benchmarking</w:t>
      </w:r>
    </w:p>
    <w:p w14:paraId="42731CB5" w14:textId="77777777" w:rsidR="00796DE5" w:rsidRPr="00346C77" w:rsidRDefault="00796DE5" w:rsidP="000304A1">
      <w:pPr>
        <w:numPr>
          <w:ilvl w:val="1"/>
          <w:numId w:val="7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color w:val="002060"/>
        </w:rPr>
        <w:t>Rationale</w:t>
      </w:r>
      <w:proofErr w:type="spellEnd"/>
      <w:r w:rsidRPr="00346C77">
        <w:rPr>
          <w:rFonts w:ascii="Verdana" w:hAnsi="Verdana"/>
          <w:color w:val="002060"/>
        </w:rPr>
        <w:t xml:space="preserve"> for </w:t>
      </w:r>
      <w:proofErr w:type="spellStart"/>
      <w:r w:rsidRPr="00346C77">
        <w:rPr>
          <w:rFonts w:ascii="Verdana" w:hAnsi="Verdana"/>
          <w:color w:val="002060"/>
        </w:rPr>
        <w:t>rejecting</w:t>
      </w:r>
      <w:proofErr w:type="spellEnd"/>
      <w:r w:rsidRPr="00346C77">
        <w:rPr>
          <w:rFonts w:ascii="Verdana" w:hAnsi="Verdana"/>
          <w:color w:val="002060"/>
        </w:rPr>
        <w:t xml:space="preserve"> comparables</w:t>
      </w:r>
    </w:p>
    <w:p w14:paraId="55211BB4" w14:textId="77777777" w:rsidR="00796DE5" w:rsidRPr="00346C77" w:rsidRDefault="00796DE5" w:rsidP="000304A1">
      <w:pPr>
        <w:numPr>
          <w:ilvl w:val="1"/>
          <w:numId w:val="7"/>
        </w:numPr>
        <w:spacing w:after="0"/>
        <w:rPr>
          <w:rFonts w:ascii="Verdana" w:hAnsi="Verdana"/>
          <w:color w:val="002060"/>
        </w:rPr>
      </w:pPr>
      <w:proofErr w:type="spellStart"/>
      <w:r w:rsidRPr="00346C77">
        <w:rPr>
          <w:rFonts w:ascii="Verdana" w:hAnsi="Verdana"/>
          <w:color w:val="002060"/>
        </w:rPr>
        <w:t>Agreements</w:t>
      </w:r>
      <w:proofErr w:type="spellEnd"/>
      <w:r w:rsidRPr="00346C77">
        <w:rPr>
          <w:rFonts w:ascii="Verdana" w:hAnsi="Verdana"/>
          <w:color w:val="002060"/>
        </w:rPr>
        <w:t xml:space="preserve"> and </w:t>
      </w:r>
      <w:proofErr w:type="spellStart"/>
      <w:r w:rsidRPr="00346C77">
        <w:rPr>
          <w:rFonts w:ascii="Verdana" w:hAnsi="Verdana"/>
          <w:color w:val="002060"/>
        </w:rPr>
        <w:t>actual</w:t>
      </w:r>
      <w:proofErr w:type="spellEnd"/>
      <w:r w:rsidRPr="00346C77">
        <w:rPr>
          <w:rFonts w:ascii="Verdana" w:hAnsi="Verdana"/>
          <w:color w:val="002060"/>
        </w:rPr>
        <w:t xml:space="preserve"> </w:t>
      </w:r>
      <w:proofErr w:type="spellStart"/>
      <w:r w:rsidRPr="00346C77">
        <w:rPr>
          <w:rFonts w:ascii="Verdana" w:hAnsi="Verdana"/>
          <w:color w:val="002060"/>
        </w:rPr>
        <w:t>behavior</w:t>
      </w:r>
      <w:proofErr w:type="spellEnd"/>
    </w:p>
    <w:p w14:paraId="72309AF5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Segoe UI Emoji" w:hAnsi="Segoe UI Emoji" w:cs="Segoe UI Emoji"/>
          <w:color w:val="002060"/>
        </w:rPr>
        <w:t>💡</w:t>
      </w:r>
      <w:r w:rsidRPr="00346C77">
        <w:rPr>
          <w:rFonts w:ascii="Verdana" w:hAnsi="Verdana"/>
          <w:color w:val="002060"/>
          <w:lang w:val="en-US"/>
        </w:rPr>
        <w:t xml:space="preserve"> </w:t>
      </w:r>
      <w:proofErr w:type="gramStart"/>
      <w:r w:rsidRPr="00346C77">
        <w:rPr>
          <w:rFonts w:ascii="Verdana" w:hAnsi="Verdana"/>
          <w:i/>
          <w:iCs/>
          <w:color w:val="002060"/>
          <w:lang w:val="en-US"/>
        </w:rPr>
        <w:t>Tip:</w:t>
      </w:r>
      <w:proofErr w:type="gramEnd"/>
      <w:r w:rsidRPr="00346C77">
        <w:rPr>
          <w:rFonts w:ascii="Verdana" w:hAnsi="Verdana"/>
          <w:color w:val="002060"/>
          <w:lang w:val="en-US"/>
        </w:rPr>
        <w:t xml:space="preserve"> A well-documented file tells a clear story. Think like a tax authority: </w:t>
      </w:r>
      <w:r w:rsidRPr="00346C77">
        <w:rPr>
          <w:rFonts w:ascii="Verdana" w:hAnsi="Verdana"/>
          <w:b/>
          <w:bCs/>
          <w:color w:val="002060"/>
          <w:lang w:val="en-US"/>
        </w:rPr>
        <w:t>Does this make sense commercially?</w:t>
      </w:r>
    </w:p>
    <w:p w14:paraId="27C6BB01" w14:textId="77777777" w:rsidR="00346C77" w:rsidRDefault="00346C77" w:rsidP="000304A1">
      <w:pPr>
        <w:spacing w:after="0"/>
        <w:rPr>
          <w:rFonts w:ascii="Verdana" w:hAnsi="Verdana"/>
          <w:b/>
          <w:bCs/>
          <w:color w:val="002060"/>
          <w:lang w:val="en-US"/>
        </w:rPr>
      </w:pPr>
    </w:p>
    <w:p w14:paraId="4E5A1F7D" w14:textId="3BB8489E" w:rsidR="00796DE5" w:rsidRPr="000304A1" w:rsidRDefault="00796DE5" w:rsidP="000304A1">
      <w:pPr>
        <w:spacing w:after="0"/>
        <w:rPr>
          <w:rFonts w:ascii="Verdana" w:hAnsi="Verdana"/>
          <w:b/>
          <w:bCs/>
          <w:color w:val="A4B26D"/>
          <w:lang w:val="en-US"/>
        </w:rPr>
      </w:pPr>
      <w:r w:rsidRPr="000304A1">
        <w:rPr>
          <w:rFonts w:ascii="Verdana" w:hAnsi="Verdana"/>
          <w:b/>
          <w:bCs/>
          <w:color w:val="A4B26D"/>
          <w:lang w:val="en-US"/>
        </w:rPr>
        <w:lastRenderedPageBreak/>
        <w:t>Final Word</w:t>
      </w:r>
    </w:p>
    <w:p w14:paraId="7276EF06" w14:textId="77777777" w:rsidR="00796DE5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 xml:space="preserve">Financial transactions are under increasing scrutiny from tax authorities. Applying </w:t>
      </w:r>
      <w:r w:rsidRPr="00346C77">
        <w:rPr>
          <w:rFonts w:ascii="Verdana" w:hAnsi="Verdana"/>
          <w:b/>
          <w:bCs/>
          <w:color w:val="002060"/>
          <w:lang w:val="en-US"/>
        </w:rPr>
        <w:t>Chapter X</w:t>
      </w:r>
      <w:r w:rsidRPr="00346C77">
        <w:rPr>
          <w:rFonts w:ascii="Verdana" w:hAnsi="Verdana"/>
          <w:color w:val="002060"/>
          <w:lang w:val="en-US"/>
        </w:rPr>
        <w:t xml:space="preserve"> of the OECD Guidelines requires both </w:t>
      </w:r>
      <w:r w:rsidRPr="00346C77">
        <w:rPr>
          <w:rFonts w:ascii="Verdana" w:hAnsi="Verdana"/>
          <w:b/>
          <w:bCs/>
          <w:color w:val="002060"/>
          <w:lang w:val="en-US"/>
        </w:rPr>
        <w:t>technical expertise</w:t>
      </w:r>
      <w:r w:rsidRPr="00346C77">
        <w:rPr>
          <w:rFonts w:ascii="Verdana" w:hAnsi="Verdana"/>
          <w:color w:val="002060"/>
          <w:lang w:val="en-US"/>
        </w:rPr>
        <w:t xml:space="preserve"> and </w:t>
      </w:r>
      <w:r w:rsidRPr="00346C77">
        <w:rPr>
          <w:rFonts w:ascii="Verdana" w:hAnsi="Verdana"/>
          <w:b/>
          <w:bCs/>
          <w:color w:val="002060"/>
          <w:lang w:val="en-US"/>
        </w:rPr>
        <w:t>sound judgment</w:t>
      </w:r>
      <w:r w:rsidRPr="00346C77">
        <w:rPr>
          <w:rFonts w:ascii="Verdana" w:hAnsi="Verdana"/>
          <w:color w:val="002060"/>
          <w:lang w:val="en-US"/>
        </w:rPr>
        <w:t xml:space="preserve">. This session reinforced the importance of going beyond box-ticking to ensure that transactions reflect </w:t>
      </w:r>
      <w:r w:rsidRPr="00346C77">
        <w:rPr>
          <w:rFonts w:ascii="Verdana" w:hAnsi="Verdana"/>
          <w:b/>
          <w:bCs/>
          <w:color w:val="002060"/>
          <w:lang w:val="en-US"/>
        </w:rPr>
        <w:t>real economic activity</w:t>
      </w:r>
      <w:r w:rsidRPr="00346C77">
        <w:rPr>
          <w:rFonts w:ascii="Verdana" w:hAnsi="Verdana"/>
          <w:color w:val="002060"/>
          <w:lang w:val="en-US"/>
        </w:rPr>
        <w:t>.</w:t>
      </w:r>
    </w:p>
    <w:p w14:paraId="392B1AD8" w14:textId="77777777" w:rsidR="000304A1" w:rsidRPr="00346C77" w:rsidRDefault="000304A1" w:rsidP="000304A1">
      <w:pPr>
        <w:spacing w:after="0"/>
        <w:rPr>
          <w:rFonts w:ascii="Verdana" w:hAnsi="Verdana"/>
          <w:color w:val="002060"/>
          <w:lang w:val="en-US"/>
        </w:rPr>
      </w:pPr>
    </w:p>
    <w:p w14:paraId="57BCB99B" w14:textId="77777777" w:rsidR="00796DE5" w:rsidRPr="00346C77" w:rsidRDefault="00796DE5" w:rsidP="000304A1">
      <w:pPr>
        <w:spacing w:after="0"/>
        <w:rPr>
          <w:rFonts w:ascii="Verdana" w:hAnsi="Verdana"/>
          <w:color w:val="002060"/>
          <w:lang w:val="en-US"/>
        </w:rPr>
      </w:pPr>
      <w:r w:rsidRPr="00346C77">
        <w:rPr>
          <w:rFonts w:ascii="Verdana" w:hAnsi="Verdana"/>
          <w:color w:val="002060"/>
          <w:lang w:val="en-US"/>
        </w:rPr>
        <w:t>We hope this session has equipped you with practical tools and frameworks to navigate these challenges confidently.</w:t>
      </w:r>
    </w:p>
    <w:p w14:paraId="7221F81B" w14:textId="77777777" w:rsidR="006310F9" w:rsidRPr="00346C77" w:rsidRDefault="006310F9" w:rsidP="000304A1">
      <w:pPr>
        <w:spacing w:after="0"/>
        <w:rPr>
          <w:rFonts w:ascii="Verdana" w:hAnsi="Verdana"/>
          <w:color w:val="002060"/>
          <w:lang w:val="en-US"/>
        </w:rPr>
      </w:pPr>
    </w:p>
    <w:sectPr w:rsidR="006310F9" w:rsidRPr="00346C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A120" w14:textId="77777777" w:rsidR="00FE4A77" w:rsidRDefault="00FE4A77" w:rsidP="00FE4A77">
      <w:pPr>
        <w:spacing w:after="0" w:line="240" w:lineRule="auto"/>
      </w:pPr>
      <w:r>
        <w:separator/>
      </w:r>
    </w:p>
  </w:endnote>
  <w:endnote w:type="continuationSeparator" w:id="0">
    <w:p w14:paraId="563DDBD9" w14:textId="77777777" w:rsidR="00FE4A77" w:rsidRDefault="00FE4A77" w:rsidP="00FE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20D" w14:textId="77777777" w:rsidR="000304A1" w:rsidRDefault="000304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572" w14:textId="59ADF430" w:rsidR="00F0464C" w:rsidRDefault="00F0464C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FBDAC" wp14:editId="277FB008">
          <wp:simplePos x="0" y="0"/>
          <wp:positionH relativeFrom="page">
            <wp:align>right</wp:align>
          </wp:positionH>
          <wp:positionV relativeFrom="paragraph">
            <wp:posOffset>-78740</wp:posOffset>
          </wp:positionV>
          <wp:extent cx="1112520" cy="986790"/>
          <wp:effectExtent l="0" t="0" r="0" b="3810"/>
          <wp:wrapNone/>
          <wp:docPr id="281282575" name="Image 2" descr="Une image contenant lune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282575" name="Image 2" descr="Une image contenant lune, obscurité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88" t="61286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986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5E352" w14:textId="4ED4EDA7" w:rsidR="00FE4A77" w:rsidRDefault="00FE4A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5E5" w14:textId="77777777" w:rsidR="000304A1" w:rsidRDefault="000304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CD8" w14:textId="77777777" w:rsidR="00FE4A77" w:rsidRDefault="00FE4A77" w:rsidP="00FE4A77">
      <w:pPr>
        <w:spacing w:after="0" w:line="240" w:lineRule="auto"/>
      </w:pPr>
      <w:r>
        <w:separator/>
      </w:r>
    </w:p>
  </w:footnote>
  <w:footnote w:type="continuationSeparator" w:id="0">
    <w:p w14:paraId="7F8FE190" w14:textId="77777777" w:rsidR="00FE4A77" w:rsidRDefault="00FE4A77" w:rsidP="00FE4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6E47" w14:textId="77777777" w:rsidR="000304A1" w:rsidRDefault="000304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4EF2" w14:textId="26038BED" w:rsidR="00265D58" w:rsidRDefault="00265D58" w:rsidP="00265D58">
    <w:pPr>
      <w:pStyle w:val="En-tte"/>
      <w:tabs>
        <w:tab w:val="clear" w:pos="4536"/>
        <w:tab w:val="clear" w:pos="9072"/>
        <w:tab w:val="left" w:pos="3470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23494" wp14:editId="244EDC00">
          <wp:simplePos x="0" y="0"/>
          <wp:positionH relativeFrom="column">
            <wp:posOffset>-893445</wp:posOffset>
          </wp:positionH>
          <wp:positionV relativeFrom="paragraph">
            <wp:posOffset>-449580</wp:posOffset>
          </wp:positionV>
          <wp:extent cx="939800" cy="1003300"/>
          <wp:effectExtent l="0" t="0" r="0" b="6350"/>
          <wp:wrapNone/>
          <wp:docPr id="1342006173" name="Image 1" descr="Une image contenant capture d’écran, Graphique, graphism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006173" name="Image 1" descr="Une image contenant capture d’écran, Graphique, graphisme, cercle&#10;&#10;Le contenu généré par l’IA peut être incorrect.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529" b="40957"/>
                  <a:stretch>
                    <a:fillRect/>
                  </a:stretch>
                </pic:blipFill>
                <pic:spPr bwMode="auto">
                  <a:xfrm>
                    <a:off x="0" y="0"/>
                    <a:ext cx="945250" cy="10091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67C6" w14:textId="77777777" w:rsidR="000304A1" w:rsidRDefault="000304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4F8D"/>
    <w:multiLevelType w:val="multilevel"/>
    <w:tmpl w:val="3310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A78D7"/>
    <w:multiLevelType w:val="multilevel"/>
    <w:tmpl w:val="39FC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57162"/>
    <w:multiLevelType w:val="multilevel"/>
    <w:tmpl w:val="32A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6022"/>
    <w:multiLevelType w:val="multilevel"/>
    <w:tmpl w:val="8886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21373"/>
    <w:multiLevelType w:val="multilevel"/>
    <w:tmpl w:val="8AB6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63BB1"/>
    <w:multiLevelType w:val="multilevel"/>
    <w:tmpl w:val="8680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123E0"/>
    <w:multiLevelType w:val="multilevel"/>
    <w:tmpl w:val="E3A4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812938">
    <w:abstractNumId w:val="1"/>
  </w:num>
  <w:num w:numId="2" w16cid:durableId="137188223">
    <w:abstractNumId w:val="5"/>
  </w:num>
  <w:num w:numId="3" w16cid:durableId="1953704531">
    <w:abstractNumId w:val="6"/>
  </w:num>
  <w:num w:numId="4" w16cid:durableId="1734691722">
    <w:abstractNumId w:val="4"/>
  </w:num>
  <w:num w:numId="5" w16cid:durableId="1466896556">
    <w:abstractNumId w:val="2"/>
  </w:num>
  <w:num w:numId="6" w16cid:durableId="314842191">
    <w:abstractNumId w:val="3"/>
  </w:num>
  <w:num w:numId="7" w16cid:durableId="43832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6C"/>
    <w:rsid w:val="000304A1"/>
    <w:rsid w:val="00177330"/>
    <w:rsid w:val="00265D58"/>
    <w:rsid w:val="00292BAD"/>
    <w:rsid w:val="002F696C"/>
    <w:rsid w:val="00346C77"/>
    <w:rsid w:val="00411B62"/>
    <w:rsid w:val="00626028"/>
    <w:rsid w:val="006310F9"/>
    <w:rsid w:val="00796DE5"/>
    <w:rsid w:val="009D15EF"/>
    <w:rsid w:val="00AF4EC1"/>
    <w:rsid w:val="00F0464C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E72C2"/>
  <w15:chartTrackingRefBased/>
  <w15:docId w15:val="{AA33C085-F6E8-4642-BF87-6B1F325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9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9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9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9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9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9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9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9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9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9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96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F696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96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4A77"/>
  </w:style>
  <w:style w:type="paragraph" w:styleId="Pieddepage">
    <w:name w:val="footer"/>
    <w:basedOn w:val="Normal"/>
    <w:link w:val="PieddepageCar"/>
    <w:uiPriority w:val="99"/>
    <w:unhideWhenUsed/>
    <w:rsid w:val="00FE4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33e30-12cb-4eed-b33f-69c31c1b79c7" xsi:nil="true"/>
    <lcf76f155ced4ddcb4097134ff3c332f xmlns="f2e76135-ce65-42e1-8f97-b8a6f8809c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EA7B704BC0548925C96160B54CE5E" ma:contentTypeVersion="15" ma:contentTypeDescription="Create a new document." ma:contentTypeScope="" ma:versionID="c1d2da0fa2a5d068830823a96f0f65b5">
  <xsd:schema xmlns:xsd="http://www.w3.org/2001/XMLSchema" xmlns:xs="http://www.w3.org/2001/XMLSchema" xmlns:p="http://schemas.microsoft.com/office/2006/metadata/properties" xmlns:ns2="f2e76135-ce65-42e1-8f97-b8a6f8809cc9" xmlns:ns3="a2933e30-12cb-4eed-b33f-69c31c1b79c7" targetNamespace="http://schemas.microsoft.com/office/2006/metadata/properties" ma:root="true" ma:fieldsID="2d3d916d050c2f6d8a8baf7be1d2ebba" ns2:_="" ns3:_="">
    <xsd:import namespace="f2e76135-ce65-42e1-8f97-b8a6f8809cc9"/>
    <xsd:import namespace="a2933e30-12cb-4eed-b33f-69c31c1b7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76135-ce65-42e1-8f97-b8a6f8809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c5f404-b5fb-4889-90b7-e813c2cbf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3e30-12cb-4eed-b33f-69c31c1b7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35a56-9c92-49f6-b14d-506bccd1eb41}" ma:internalName="TaxCatchAll" ma:showField="CatchAllData" ma:web="a2933e30-12cb-4eed-b33f-69c31c1b7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8215E-5615-4BDE-B523-26FB2A65B3B5}">
  <ds:schemaRefs>
    <ds:schemaRef ds:uri="http://schemas.microsoft.com/office/2006/metadata/properties"/>
    <ds:schemaRef ds:uri="http://schemas.microsoft.com/office/infopath/2007/PartnerControls"/>
    <ds:schemaRef ds:uri="a2933e30-12cb-4eed-b33f-69c31c1b79c7"/>
    <ds:schemaRef ds:uri="f2e76135-ce65-42e1-8f97-b8a6f8809cc9"/>
  </ds:schemaRefs>
</ds:datastoreItem>
</file>

<file path=customXml/itemProps2.xml><?xml version="1.0" encoding="utf-8"?>
<ds:datastoreItem xmlns:ds="http://schemas.openxmlformats.org/officeDocument/2006/customXml" ds:itemID="{50D31727-CE00-4DB2-85EF-E323CB010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E6237-129E-47C6-886D-DC60244D0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ARSENE TAXAND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Nazzareno</dc:creator>
  <cp:keywords/>
  <dc:description/>
  <cp:lastModifiedBy>Julia Nazzareno</cp:lastModifiedBy>
  <cp:revision>9</cp:revision>
  <dcterms:created xsi:type="dcterms:W3CDTF">2025-06-24T13:23:00Z</dcterms:created>
  <dcterms:modified xsi:type="dcterms:W3CDTF">2025-06-24T14:40:00Z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0x0101001F8EA7B704BC0548925C96160B54CE5E</vt:lpwstr>
  </property>
  <property fmtid="{D5CDD505-2E9C-101B-9397-08002B2CF9AE}" pid="3" name="MediaServiceImageTags">
    <vt:lpwstr/>
  </property>
</Properties>
</file>