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0494" w14:textId="3EEC928D" w:rsidR="00752B6B" w:rsidRPr="00AC120A" w:rsidRDefault="00AC120A" w:rsidP="00752B6B">
      <w:pPr>
        <w:pStyle w:val="NormalWeb"/>
        <w:spacing w:after="240"/>
        <w:jc w:val="center"/>
        <w:rPr>
          <w:rFonts w:asciiTheme="minorHAnsi" w:hAnsiTheme="minorHAnsi" w:cstheme="minorHAnsi"/>
          <w:b/>
          <w:snapToGrid w:val="0"/>
          <w:lang w:eastAsia="es-ES"/>
        </w:rPr>
      </w:pPr>
      <w:r>
        <w:rPr>
          <w:rFonts w:asciiTheme="minorHAnsi" w:hAnsiTheme="minorHAnsi" w:cstheme="minorHAnsi"/>
          <w:b/>
          <w:snapToGrid w:val="0"/>
          <w:lang w:eastAsia="es-ES"/>
        </w:rPr>
        <w:t xml:space="preserve">Bruchou &amp; Funes de Rioja </w:t>
      </w:r>
      <w:r w:rsidR="005A217F">
        <w:rPr>
          <w:rFonts w:asciiTheme="minorHAnsi" w:hAnsiTheme="minorHAnsi" w:cstheme="minorHAnsi"/>
          <w:b/>
          <w:snapToGrid w:val="0"/>
          <w:lang w:eastAsia="es-ES"/>
        </w:rPr>
        <w:t>and Cl</w:t>
      </w:r>
      <w:r w:rsidR="00B349A1">
        <w:rPr>
          <w:rFonts w:asciiTheme="minorHAnsi" w:hAnsiTheme="minorHAnsi" w:cstheme="minorHAnsi"/>
          <w:b/>
          <w:snapToGrid w:val="0"/>
          <w:lang w:eastAsia="es-ES"/>
        </w:rPr>
        <w:t xml:space="preserve">ifford Chance LLP </w:t>
      </w:r>
      <w:r w:rsidR="001F5D8C">
        <w:rPr>
          <w:rFonts w:asciiTheme="minorHAnsi" w:hAnsiTheme="minorHAnsi" w:cstheme="minorHAnsi"/>
          <w:b/>
          <w:snapToGrid w:val="0"/>
          <w:lang w:eastAsia="es-ES"/>
        </w:rPr>
        <w:t xml:space="preserve">advised </w:t>
      </w:r>
      <w:r w:rsidR="00E8152C" w:rsidRPr="00AC120A">
        <w:rPr>
          <w:rFonts w:asciiTheme="minorHAnsi" w:hAnsiTheme="minorHAnsi" w:cstheme="minorHAnsi"/>
          <w:b/>
          <w:snapToGrid w:val="0"/>
          <w:lang w:eastAsia="es-ES"/>
        </w:rPr>
        <w:t>Vista</w:t>
      </w:r>
      <w:r w:rsidR="00B17BA0">
        <w:rPr>
          <w:rFonts w:asciiTheme="minorHAnsi" w:hAnsiTheme="minorHAnsi" w:cstheme="minorHAnsi"/>
          <w:b/>
          <w:snapToGrid w:val="0"/>
          <w:lang w:eastAsia="es-ES"/>
        </w:rPr>
        <w:t xml:space="preserve"> Energy</w:t>
      </w:r>
      <w:r w:rsidR="00E8152C" w:rsidRPr="00AC120A">
        <w:rPr>
          <w:rFonts w:asciiTheme="minorHAnsi" w:hAnsiTheme="minorHAnsi" w:cstheme="minorHAnsi"/>
          <w:b/>
          <w:snapToGrid w:val="0"/>
          <w:lang w:eastAsia="es-ES"/>
        </w:rPr>
        <w:t xml:space="preserve"> </w:t>
      </w:r>
      <w:r w:rsidR="001F5D8C">
        <w:rPr>
          <w:rFonts w:asciiTheme="minorHAnsi" w:hAnsiTheme="minorHAnsi" w:cstheme="minorHAnsi"/>
          <w:b/>
          <w:snapToGrid w:val="0"/>
          <w:lang w:eastAsia="es-ES"/>
        </w:rPr>
        <w:t xml:space="preserve">in </w:t>
      </w:r>
      <w:r w:rsidR="00B349A1">
        <w:rPr>
          <w:rFonts w:asciiTheme="minorHAnsi" w:hAnsiTheme="minorHAnsi" w:cstheme="minorHAnsi"/>
          <w:b/>
          <w:snapToGrid w:val="0"/>
          <w:lang w:eastAsia="es-ES"/>
        </w:rPr>
        <w:t xml:space="preserve">the </w:t>
      </w:r>
      <w:r w:rsidR="00F67D55" w:rsidRPr="00AC120A">
        <w:rPr>
          <w:rFonts w:asciiTheme="minorHAnsi" w:hAnsiTheme="minorHAnsi" w:cstheme="minorHAnsi"/>
          <w:b/>
          <w:snapToGrid w:val="0"/>
          <w:lang w:eastAsia="es-ES"/>
        </w:rPr>
        <w:t xml:space="preserve">acquisition of </w:t>
      </w:r>
      <w:r w:rsidR="00645F5B" w:rsidRPr="00AC120A">
        <w:rPr>
          <w:rFonts w:asciiTheme="minorHAnsi" w:hAnsiTheme="minorHAnsi" w:cstheme="minorHAnsi"/>
          <w:b/>
          <w:snapToGrid w:val="0"/>
          <w:lang w:eastAsia="es-ES"/>
        </w:rPr>
        <w:t>Petronas Argentina</w:t>
      </w:r>
    </w:p>
    <w:p w14:paraId="290977A9" w14:textId="48A96F84" w:rsidR="00AE6E03" w:rsidRPr="009C1035" w:rsidRDefault="00AE6E03" w:rsidP="003A5141">
      <w:pPr>
        <w:pStyle w:val="NormalWeb"/>
        <w:jc w:val="both"/>
        <w:rPr>
          <w:rFonts w:asciiTheme="minorHAnsi" w:hAnsiTheme="minorHAnsi" w:cstheme="minorHAnsi"/>
          <w:bCs/>
          <w:snapToGrid w:val="0"/>
          <w:lang w:eastAsia="es-ES"/>
        </w:rPr>
      </w:pPr>
      <w:r w:rsidRPr="00AC120A">
        <w:rPr>
          <w:rFonts w:asciiTheme="minorHAnsi" w:hAnsiTheme="minorHAnsi" w:cstheme="minorHAnsi"/>
          <w:b/>
          <w:bCs/>
          <w:snapToGrid w:val="0"/>
          <w:lang w:eastAsia="es-ES"/>
        </w:rPr>
        <w:t>Bruchou &amp; Funes de Rioja</w:t>
      </w:r>
      <w:r w:rsidRPr="00AC120A">
        <w:rPr>
          <w:rFonts w:asciiTheme="minorHAnsi" w:hAnsiTheme="minorHAnsi" w:cstheme="minorHAnsi"/>
          <w:bCs/>
          <w:snapToGrid w:val="0"/>
          <w:lang w:eastAsia="es-ES"/>
        </w:rPr>
        <w:t xml:space="preserve"> </w:t>
      </w:r>
      <w:r w:rsidR="004C074E">
        <w:rPr>
          <w:rFonts w:asciiTheme="minorHAnsi" w:hAnsiTheme="minorHAnsi" w:cstheme="minorHAnsi"/>
          <w:bCs/>
          <w:snapToGrid w:val="0"/>
          <w:lang w:eastAsia="es-ES"/>
        </w:rPr>
        <w:t>and</w:t>
      </w:r>
      <w:r w:rsidR="00336553">
        <w:rPr>
          <w:rFonts w:asciiTheme="minorHAnsi" w:hAnsiTheme="minorHAnsi" w:cstheme="minorHAnsi"/>
          <w:bCs/>
          <w:snapToGrid w:val="0"/>
          <w:lang w:eastAsia="es-ES"/>
        </w:rPr>
        <w:t xml:space="preserve"> </w:t>
      </w:r>
      <w:r w:rsidR="00336553" w:rsidRPr="004C074E">
        <w:rPr>
          <w:rFonts w:asciiTheme="minorHAnsi" w:hAnsiTheme="minorHAnsi" w:cstheme="minorHAnsi"/>
          <w:b/>
          <w:snapToGrid w:val="0"/>
          <w:lang w:eastAsia="es-ES"/>
        </w:rPr>
        <w:t>Clifford Chance LLP</w:t>
      </w:r>
      <w:r w:rsidR="00336553">
        <w:rPr>
          <w:rFonts w:asciiTheme="minorHAnsi" w:hAnsiTheme="minorHAnsi" w:cstheme="minorHAnsi"/>
          <w:bCs/>
          <w:snapToGrid w:val="0"/>
          <w:lang w:eastAsia="es-ES"/>
        </w:rPr>
        <w:t xml:space="preserve"> </w:t>
      </w:r>
      <w:r w:rsidRPr="00AC120A">
        <w:rPr>
          <w:rFonts w:asciiTheme="minorHAnsi" w:hAnsiTheme="minorHAnsi" w:cstheme="minorHAnsi"/>
          <w:bCs/>
          <w:snapToGrid w:val="0"/>
          <w:lang w:eastAsia="es-ES"/>
        </w:rPr>
        <w:t xml:space="preserve">acted as legal counsel to </w:t>
      </w:r>
      <w:r w:rsidRPr="00AC120A">
        <w:rPr>
          <w:rFonts w:asciiTheme="minorHAnsi" w:hAnsiTheme="minorHAnsi" w:cstheme="minorHAnsi"/>
          <w:b/>
          <w:bCs/>
          <w:snapToGrid w:val="0"/>
          <w:lang w:eastAsia="es-ES"/>
        </w:rPr>
        <w:t xml:space="preserve">Vista Energy </w:t>
      </w:r>
      <w:r w:rsidRPr="009C1035">
        <w:rPr>
          <w:rFonts w:asciiTheme="minorHAnsi" w:hAnsiTheme="minorHAnsi" w:cstheme="minorHAnsi"/>
          <w:b/>
          <w:bCs/>
          <w:snapToGrid w:val="0"/>
          <w:lang w:eastAsia="es-ES"/>
        </w:rPr>
        <w:t>Argentina S.A.U</w:t>
      </w:r>
      <w:r w:rsidRPr="009C1035">
        <w:rPr>
          <w:rFonts w:asciiTheme="minorHAnsi" w:hAnsiTheme="minorHAnsi" w:cstheme="minorHAnsi"/>
          <w:bCs/>
          <w:snapToGrid w:val="0"/>
          <w:lang w:eastAsia="es-ES"/>
        </w:rPr>
        <w:t>, a subsidiary of Vista Energy, S.A.B. de C.V.</w:t>
      </w:r>
      <w:r w:rsidR="00C26FCA" w:rsidRPr="009C1035">
        <w:rPr>
          <w:rFonts w:asciiTheme="minorHAnsi" w:hAnsiTheme="minorHAnsi" w:cstheme="minorHAnsi"/>
          <w:bCs/>
          <w:snapToGrid w:val="0"/>
          <w:lang w:eastAsia="es-ES"/>
        </w:rPr>
        <w:t xml:space="preserve"> (“Vista”)</w:t>
      </w:r>
      <w:r w:rsidRPr="009C1035">
        <w:rPr>
          <w:rFonts w:asciiTheme="minorHAnsi" w:hAnsiTheme="minorHAnsi" w:cstheme="minorHAnsi"/>
          <w:bCs/>
          <w:snapToGrid w:val="0"/>
          <w:lang w:eastAsia="es-ES"/>
        </w:rPr>
        <w:t xml:space="preserve">, in its acquisition of 100% of the capital stock </w:t>
      </w:r>
      <w:r w:rsidR="005B6857" w:rsidRPr="009C1035">
        <w:rPr>
          <w:rFonts w:asciiTheme="minorHAnsi" w:hAnsiTheme="minorHAnsi" w:cstheme="minorHAnsi"/>
          <w:bCs/>
          <w:snapToGrid w:val="0"/>
          <w:lang w:eastAsia="es-ES"/>
        </w:rPr>
        <w:t xml:space="preserve">and voting </w:t>
      </w:r>
      <w:r w:rsidR="005B6857" w:rsidRPr="005B6857">
        <w:rPr>
          <w:rFonts w:asciiTheme="minorHAnsi" w:hAnsiTheme="minorHAnsi" w:cstheme="minorHAnsi"/>
          <w:bCs/>
          <w:snapToGrid w:val="0"/>
          <w:lang w:eastAsia="es-ES"/>
        </w:rPr>
        <w:t>ri</w:t>
      </w:r>
      <w:r w:rsidR="005B6857" w:rsidRPr="009C1035">
        <w:rPr>
          <w:rFonts w:asciiTheme="minorHAnsi" w:hAnsiTheme="minorHAnsi" w:cstheme="minorHAnsi"/>
          <w:bCs/>
          <w:snapToGrid w:val="0"/>
          <w:lang w:eastAsia="es-ES"/>
        </w:rPr>
        <w:t>ghts</w:t>
      </w:r>
      <w:r w:rsidR="005B6857">
        <w:rPr>
          <w:rFonts w:asciiTheme="minorHAnsi" w:hAnsiTheme="minorHAnsi" w:cstheme="minorHAnsi"/>
          <w:bCs/>
          <w:snapToGrid w:val="0"/>
          <w:lang w:eastAsia="es-ES"/>
        </w:rPr>
        <w:t xml:space="preserve"> </w:t>
      </w:r>
      <w:r w:rsidRPr="009C1035">
        <w:rPr>
          <w:rFonts w:asciiTheme="minorHAnsi" w:hAnsiTheme="minorHAnsi" w:cstheme="minorHAnsi"/>
          <w:bCs/>
          <w:snapToGrid w:val="0"/>
          <w:lang w:eastAsia="es-ES"/>
        </w:rPr>
        <w:t xml:space="preserve">of </w:t>
      </w:r>
      <w:r w:rsidRPr="009C1035">
        <w:rPr>
          <w:rFonts w:asciiTheme="minorHAnsi" w:hAnsiTheme="minorHAnsi" w:cstheme="minorHAnsi"/>
          <w:b/>
          <w:bCs/>
          <w:snapToGrid w:val="0"/>
          <w:lang w:eastAsia="es-ES"/>
        </w:rPr>
        <w:t>Petronas E&amp;P Argentina S.A</w:t>
      </w:r>
      <w:r w:rsidRPr="009C1035">
        <w:rPr>
          <w:rFonts w:asciiTheme="minorHAnsi" w:hAnsiTheme="minorHAnsi" w:cstheme="minorHAnsi"/>
          <w:bCs/>
          <w:snapToGrid w:val="0"/>
          <w:lang w:eastAsia="es-ES"/>
        </w:rPr>
        <w:t xml:space="preserve">. from Petronas </w:t>
      </w:r>
      <w:proofErr w:type="spellStart"/>
      <w:r w:rsidRPr="009C1035">
        <w:rPr>
          <w:rFonts w:asciiTheme="minorHAnsi" w:hAnsiTheme="minorHAnsi" w:cstheme="minorHAnsi"/>
          <w:bCs/>
          <w:snapToGrid w:val="0"/>
          <w:lang w:eastAsia="es-ES"/>
        </w:rPr>
        <w:t>Carigali</w:t>
      </w:r>
      <w:proofErr w:type="spellEnd"/>
      <w:r w:rsidRPr="009C1035">
        <w:rPr>
          <w:rFonts w:asciiTheme="minorHAnsi" w:hAnsiTheme="minorHAnsi" w:cstheme="minorHAnsi"/>
          <w:bCs/>
          <w:snapToGrid w:val="0"/>
          <w:lang w:eastAsia="es-ES"/>
        </w:rPr>
        <w:t xml:space="preserve"> Canada B.V. and Petronas </w:t>
      </w:r>
      <w:proofErr w:type="spellStart"/>
      <w:r w:rsidRPr="009C1035">
        <w:rPr>
          <w:rFonts w:asciiTheme="minorHAnsi" w:hAnsiTheme="minorHAnsi" w:cstheme="minorHAnsi"/>
          <w:bCs/>
          <w:snapToGrid w:val="0"/>
          <w:lang w:eastAsia="es-ES"/>
        </w:rPr>
        <w:t>Carigali</w:t>
      </w:r>
      <w:proofErr w:type="spellEnd"/>
      <w:r w:rsidRPr="009C1035">
        <w:rPr>
          <w:rFonts w:asciiTheme="minorHAnsi" w:hAnsiTheme="minorHAnsi" w:cstheme="minorHAnsi"/>
          <w:bCs/>
          <w:snapToGrid w:val="0"/>
          <w:lang w:eastAsia="es-ES"/>
        </w:rPr>
        <w:t xml:space="preserve"> International E&amp;P B.V.</w:t>
      </w:r>
      <w:r w:rsidR="00237474">
        <w:rPr>
          <w:rFonts w:asciiTheme="minorHAnsi" w:hAnsiTheme="minorHAnsi" w:cstheme="minorHAnsi"/>
          <w:bCs/>
          <w:snapToGrid w:val="0"/>
          <w:lang w:eastAsia="es-ES"/>
        </w:rPr>
        <w:t xml:space="preserve"> (“Petronas”). </w:t>
      </w:r>
    </w:p>
    <w:p w14:paraId="6B404A43" w14:textId="5AABB77D" w:rsidR="00AE6E03" w:rsidRDefault="00AE6E03" w:rsidP="003A5141">
      <w:pPr>
        <w:pStyle w:val="NormalWeb"/>
        <w:jc w:val="both"/>
        <w:rPr>
          <w:rFonts w:asciiTheme="minorHAnsi" w:hAnsiTheme="minorHAnsi" w:cstheme="minorHAnsi"/>
          <w:bCs/>
          <w:snapToGrid w:val="0"/>
          <w:lang w:eastAsia="es-ES"/>
        </w:rPr>
      </w:pPr>
      <w:r w:rsidRPr="00AE6E03">
        <w:rPr>
          <w:rFonts w:asciiTheme="minorHAnsi" w:hAnsiTheme="minorHAnsi" w:cstheme="minorHAnsi"/>
          <w:bCs/>
          <w:snapToGrid w:val="0"/>
          <w:lang w:eastAsia="es-ES"/>
        </w:rPr>
        <w:t>This transaction</w:t>
      </w:r>
      <w:r w:rsidR="005B6857">
        <w:rPr>
          <w:rFonts w:asciiTheme="minorHAnsi" w:hAnsiTheme="minorHAnsi" w:cstheme="minorHAnsi"/>
          <w:bCs/>
          <w:snapToGrid w:val="0"/>
          <w:lang w:eastAsia="es-ES"/>
        </w:rPr>
        <w:t xml:space="preserve"> </w:t>
      </w:r>
      <w:r w:rsidRPr="00AE6E03">
        <w:rPr>
          <w:rFonts w:asciiTheme="minorHAnsi" w:hAnsiTheme="minorHAnsi" w:cstheme="minorHAnsi"/>
          <w:bCs/>
          <w:snapToGrid w:val="0"/>
          <w:lang w:eastAsia="es-ES"/>
        </w:rPr>
        <w:t xml:space="preserve">represents a strategic </w:t>
      </w:r>
      <w:r w:rsidR="005B6857">
        <w:rPr>
          <w:rFonts w:asciiTheme="minorHAnsi" w:hAnsiTheme="minorHAnsi" w:cstheme="minorHAnsi"/>
          <w:bCs/>
          <w:snapToGrid w:val="0"/>
          <w:lang w:eastAsia="es-ES"/>
        </w:rPr>
        <w:t>milestone</w:t>
      </w:r>
      <w:r w:rsidR="005B6857" w:rsidRPr="00AE6E03">
        <w:rPr>
          <w:rFonts w:asciiTheme="minorHAnsi" w:hAnsiTheme="minorHAnsi" w:cstheme="minorHAnsi"/>
          <w:bCs/>
          <w:snapToGrid w:val="0"/>
          <w:lang w:eastAsia="es-ES"/>
        </w:rPr>
        <w:t xml:space="preserve"> </w:t>
      </w:r>
      <w:r w:rsidRPr="00AE6E03">
        <w:rPr>
          <w:rFonts w:asciiTheme="minorHAnsi" w:hAnsiTheme="minorHAnsi" w:cstheme="minorHAnsi"/>
          <w:bCs/>
          <w:snapToGrid w:val="0"/>
          <w:lang w:eastAsia="es-ES"/>
        </w:rPr>
        <w:t xml:space="preserve">for Vista </w:t>
      </w:r>
      <w:r w:rsidR="005B6857">
        <w:rPr>
          <w:rFonts w:asciiTheme="minorHAnsi" w:hAnsiTheme="minorHAnsi" w:cstheme="minorHAnsi"/>
          <w:bCs/>
          <w:snapToGrid w:val="0"/>
          <w:lang w:eastAsia="es-ES"/>
        </w:rPr>
        <w:t>in its expansion with</w:t>
      </w:r>
      <w:r w:rsidRPr="00AE6E03">
        <w:rPr>
          <w:rFonts w:asciiTheme="minorHAnsi" w:hAnsiTheme="minorHAnsi" w:cstheme="minorHAnsi"/>
          <w:bCs/>
          <w:snapToGrid w:val="0"/>
          <w:lang w:eastAsia="es-ES"/>
        </w:rPr>
        <w:t xml:space="preserve">in the Vaca </w:t>
      </w:r>
      <w:proofErr w:type="spellStart"/>
      <w:r w:rsidRPr="00AE6E03">
        <w:rPr>
          <w:rFonts w:asciiTheme="minorHAnsi" w:hAnsiTheme="minorHAnsi" w:cstheme="minorHAnsi"/>
          <w:bCs/>
          <w:snapToGrid w:val="0"/>
          <w:lang w:eastAsia="es-ES"/>
        </w:rPr>
        <w:t>Muerta</w:t>
      </w:r>
      <w:proofErr w:type="spellEnd"/>
      <w:r w:rsidRPr="00AE6E03">
        <w:rPr>
          <w:rFonts w:asciiTheme="minorHAnsi" w:hAnsiTheme="minorHAnsi" w:cstheme="minorHAnsi"/>
          <w:bCs/>
          <w:snapToGrid w:val="0"/>
          <w:lang w:eastAsia="es-ES"/>
        </w:rPr>
        <w:t xml:space="preserve"> play, one of the most promising unconventional oil and gas resources in the world. Through this acquisition, Vista consolidates a 50% working interest in the La Amarga Chica unconventional concession</w:t>
      </w:r>
      <w:r w:rsidR="004A5419">
        <w:rPr>
          <w:rFonts w:asciiTheme="minorHAnsi" w:hAnsiTheme="minorHAnsi" w:cstheme="minorHAnsi"/>
          <w:bCs/>
          <w:snapToGrid w:val="0"/>
          <w:lang w:eastAsia="es-ES"/>
        </w:rPr>
        <w:t xml:space="preserve"> (which is operated by YPF</w:t>
      </w:r>
      <w:r w:rsidRPr="00AE6E03">
        <w:rPr>
          <w:rFonts w:asciiTheme="minorHAnsi" w:hAnsiTheme="minorHAnsi" w:cstheme="minorHAnsi"/>
          <w:bCs/>
          <w:snapToGrid w:val="0"/>
          <w:lang w:eastAsia="es-ES"/>
        </w:rPr>
        <w:t xml:space="preserve"> S.A.</w:t>
      </w:r>
      <w:r w:rsidR="004A5419">
        <w:rPr>
          <w:rFonts w:asciiTheme="minorHAnsi" w:hAnsiTheme="minorHAnsi" w:cstheme="minorHAnsi"/>
          <w:bCs/>
          <w:snapToGrid w:val="0"/>
          <w:lang w:eastAsia="es-ES"/>
        </w:rPr>
        <w:t>)</w:t>
      </w:r>
      <w:r w:rsidRPr="00AE6E03">
        <w:rPr>
          <w:rFonts w:asciiTheme="minorHAnsi" w:hAnsiTheme="minorHAnsi" w:cstheme="minorHAnsi"/>
          <w:bCs/>
          <w:snapToGrid w:val="0"/>
          <w:lang w:eastAsia="es-ES"/>
        </w:rPr>
        <w:t xml:space="preserve">, the second largest producing field in the black oil window of Vaca </w:t>
      </w:r>
      <w:proofErr w:type="spellStart"/>
      <w:r w:rsidRPr="00AE6E03">
        <w:rPr>
          <w:rFonts w:asciiTheme="minorHAnsi" w:hAnsiTheme="minorHAnsi" w:cstheme="minorHAnsi"/>
          <w:bCs/>
          <w:snapToGrid w:val="0"/>
          <w:lang w:eastAsia="es-ES"/>
        </w:rPr>
        <w:t>Muerta</w:t>
      </w:r>
      <w:proofErr w:type="spellEnd"/>
      <w:r w:rsidRPr="00AE6E03">
        <w:rPr>
          <w:rFonts w:asciiTheme="minorHAnsi" w:hAnsiTheme="minorHAnsi" w:cstheme="minorHAnsi"/>
          <w:bCs/>
          <w:snapToGrid w:val="0"/>
          <w:lang w:eastAsia="es-ES"/>
        </w:rPr>
        <w:t xml:space="preserve"> and secures substantial oil midstream capacity in key infrastructure projects, mostly for export markets. </w:t>
      </w:r>
    </w:p>
    <w:p w14:paraId="43CC6884" w14:textId="26003513" w:rsidR="00E855A6" w:rsidRDefault="00E855A6" w:rsidP="00AC0F7E">
      <w:pPr>
        <w:pStyle w:val="NormalWeb"/>
        <w:jc w:val="both"/>
        <w:rPr>
          <w:rFonts w:asciiTheme="minorHAnsi" w:hAnsiTheme="minorHAnsi" w:cstheme="minorHAnsi"/>
          <w:bCs/>
          <w:snapToGrid w:val="0"/>
          <w:lang w:eastAsia="es-ES"/>
        </w:rPr>
      </w:pPr>
      <w:r w:rsidRPr="00E855A6">
        <w:rPr>
          <w:rFonts w:asciiTheme="minorHAnsi" w:hAnsiTheme="minorHAnsi" w:cstheme="minorHAnsi"/>
          <w:bCs/>
          <w:snapToGrid w:val="0"/>
          <w:lang w:eastAsia="es-ES"/>
        </w:rPr>
        <w:t>The transaction involved a complex structure as it included, among</w:t>
      </w:r>
      <w:r w:rsidR="00827D16">
        <w:rPr>
          <w:rFonts w:asciiTheme="minorHAnsi" w:hAnsiTheme="minorHAnsi" w:cstheme="minorHAnsi"/>
          <w:bCs/>
          <w:snapToGrid w:val="0"/>
          <w:lang w:eastAsia="es-ES"/>
        </w:rPr>
        <w:t>st other</w:t>
      </w:r>
      <w:r w:rsidR="007F12F5">
        <w:rPr>
          <w:rFonts w:asciiTheme="minorHAnsi" w:hAnsiTheme="minorHAnsi" w:cstheme="minorHAnsi"/>
          <w:bCs/>
          <w:snapToGrid w:val="0"/>
          <w:lang w:eastAsia="es-ES"/>
        </w:rPr>
        <w:t>s</w:t>
      </w:r>
      <w:r w:rsidR="00827D16">
        <w:rPr>
          <w:rFonts w:asciiTheme="minorHAnsi" w:hAnsiTheme="minorHAnsi" w:cstheme="minorHAnsi"/>
          <w:bCs/>
          <w:snapToGrid w:val="0"/>
          <w:lang w:eastAsia="es-ES"/>
        </w:rPr>
        <w:t xml:space="preserve">, </w:t>
      </w:r>
      <w:r w:rsidRPr="00E855A6">
        <w:rPr>
          <w:rFonts w:asciiTheme="minorHAnsi" w:hAnsiTheme="minorHAnsi" w:cstheme="minorHAnsi"/>
          <w:bCs/>
          <w:snapToGrid w:val="0"/>
          <w:lang w:eastAsia="es-ES"/>
        </w:rPr>
        <w:t>a combination of different forms and methods of payment — including closing payments, deferred payments, and the issuance of ADSs — and the need for acquisition financing through a medium-term credit facility. The deal also required a sophisticated multi-jurisdictional legal strategy and close coordination with legal teams from Mexico, New York, and the United Kingdom, addressing regulatory, corporate, financing, and tax matters across these jurisdictions.</w:t>
      </w:r>
    </w:p>
    <w:p w14:paraId="4E86567A" w14:textId="17F2ACEF" w:rsidR="009A6E91" w:rsidRDefault="00817A00" w:rsidP="001838F4">
      <w:pPr>
        <w:pStyle w:val="NormalWeb"/>
        <w:jc w:val="both"/>
        <w:rPr>
          <w:rFonts w:asciiTheme="minorHAnsi" w:hAnsiTheme="minorHAnsi" w:cstheme="minorHAnsi"/>
          <w:bCs/>
          <w:snapToGrid w:val="0"/>
          <w:lang w:eastAsia="es-ES"/>
        </w:rPr>
      </w:pPr>
      <w:r>
        <w:rPr>
          <w:rFonts w:asciiTheme="minorHAnsi" w:hAnsiTheme="minorHAnsi" w:cstheme="minorHAnsi"/>
          <w:bCs/>
          <w:snapToGrid w:val="0"/>
          <w:lang w:eastAsia="es-ES"/>
        </w:rPr>
        <w:t xml:space="preserve">Bruchou &amp; Funes de Rioja’s </w:t>
      </w:r>
      <w:r w:rsidR="003A5141" w:rsidRPr="003A5141">
        <w:rPr>
          <w:rFonts w:asciiTheme="minorHAnsi" w:hAnsiTheme="minorHAnsi" w:cstheme="minorHAnsi"/>
          <w:bCs/>
          <w:snapToGrid w:val="0"/>
          <w:lang w:eastAsia="es-ES"/>
        </w:rPr>
        <w:t>team, led by partner Nicolás Dulce and senior associate Agustina Rocca advised Vista on all aspects of this landmark transaction</w:t>
      </w:r>
      <w:r w:rsidR="00AC0F7E">
        <w:rPr>
          <w:rFonts w:asciiTheme="minorHAnsi" w:hAnsiTheme="minorHAnsi" w:cstheme="minorHAnsi"/>
          <w:bCs/>
          <w:snapToGrid w:val="0"/>
          <w:lang w:eastAsia="es-ES"/>
        </w:rPr>
        <w:t xml:space="preserve">, </w:t>
      </w:r>
      <w:r w:rsidR="002F26FD">
        <w:rPr>
          <w:rFonts w:asciiTheme="minorHAnsi" w:hAnsiTheme="minorHAnsi" w:cstheme="minorHAnsi"/>
          <w:bCs/>
          <w:snapToGrid w:val="0"/>
          <w:lang w:eastAsia="es-ES"/>
        </w:rPr>
        <w:t xml:space="preserve">with the support of associates María Bourdieu, </w:t>
      </w:r>
      <w:r w:rsidR="006D5706">
        <w:rPr>
          <w:rFonts w:asciiTheme="minorHAnsi" w:hAnsiTheme="minorHAnsi" w:cstheme="minorHAnsi"/>
          <w:bCs/>
          <w:snapToGrid w:val="0"/>
          <w:lang w:eastAsia="es-ES"/>
        </w:rPr>
        <w:t>Josefina De La Torre, Santiago Cleti and Sofía Guev</w:t>
      </w:r>
      <w:r w:rsidR="00B17BA0">
        <w:rPr>
          <w:rFonts w:asciiTheme="minorHAnsi" w:hAnsiTheme="minorHAnsi" w:cstheme="minorHAnsi"/>
          <w:bCs/>
          <w:snapToGrid w:val="0"/>
          <w:lang w:eastAsia="es-ES"/>
        </w:rPr>
        <w:t>a</w:t>
      </w:r>
      <w:r w:rsidR="006D5706">
        <w:rPr>
          <w:rFonts w:asciiTheme="minorHAnsi" w:hAnsiTheme="minorHAnsi" w:cstheme="minorHAnsi"/>
          <w:bCs/>
          <w:snapToGrid w:val="0"/>
          <w:lang w:eastAsia="es-ES"/>
        </w:rPr>
        <w:t>ra Lynch</w:t>
      </w:r>
      <w:r w:rsidR="000477B8">
        <w:rPr>
          <w:rFonts w:asciiTheme="minorHAnsi" w:hAnsiTheme="minorHAnsi" w:cstheme="minorHAnsi"/>
          <w:bCs/>
          <w:snapToGrid w:val="0"/>
          <w:lang w:eastAsia="es-ES"/>
        </w:rPr>
        <w:t>. The team also included p</w:t>
      </w:r>
      <w:r w:rsidR="000477B8" w:rsidRPr="003A5141">
        <w:rPr>
          <w:rFonts w:asciiTheme="minorHAnsi" w:hAnsiTheme="minorHAnsi" w:cstheme="minorHAnsi"/>
          <w:bCs/>
          <w:snapToGrid w:val="0"/>
          <w:lang w:eastAsia="es-ES"/>
        </w:rPr>
        <w:t>artner José Bazán</w:t>
      </w:r>
      <w:r w:rsidR="000477B8">
        <w:rPr>
          <w:rFonts w:asciiTheme="minorHAnsi" w:hAnsiTheme="minorHAnsi" w:cstheme="minorHAnsi"/>
          <w:bCs/>
          <w:snapToGrid w:val="0"/>
          <w:lang w:eastAsia="es-ES"/>
        </w:rPr>
        <w:t xml:space="preserve"> </w:t>
      </w:r>
      <w:r w:rsidR="000477B8" w:rsidRPr="003A5141">
        <w:rPr>
          <w:rFonts w:asciiTheme="minorHAnsi" w:hAnsiTheme="minorHAnsi" w:cstheme="minorHAnsi"/>
          <w:bCs/>
          <w:snapToGrid w:val="0"/>
          <w:lang w:eastAsia="es-ES"/>
        </w:rPr>
        <w:t xml:space="preserve">and senior associate Ramón Poliche </w:t>
      </w:r>
      <w:r w:rsidR="000477B8">
        <w:rPr>
          <w:rFonts w:asciiTheme="minorHAnsi" w:hAnsiTheme="minorHAnsi" w:cstheme="minorHAnsi"/>
          <w:bCs/>
          <w:snapToGrid w:val="0"/>
          <w:lang w:eastAsia="es-ES"/>
        </w:rPr>
        <w:t xml:space="preserve">who </w:t>
      </w:r>
      <w:r w:rsidR="000477B8" w:rsidRPr="003A5141">
        <w:rPr>
          <w:rFonts w:asciiTheme="minorHAnsi" w:hAnsiTheme="minorHAnsi" w:cstheme="minorHAnsi"/>
          <w:bCs/>
          <w:snapToGrid w:val="0"/>
          <w:lang w:eastAsia="es-ES"/>
        </w:rPr>
        <w:t xml:space="preserve">advised on </w:t>
      </w:r>
      <w:r w:rsidR="000477B8">
        <w:rPr>
          <w:rFonts w:asciiTheme="minorHAnsi" w:hAnsiTheme="minorHAnsi" w:cstheme="minorHAnsi"/>
          <w:bCs/>
          <w:snapToGrid w:val="0"/>
          <w:lang w:eastAsia="es-ES"/>
        </w:rPr>
        <w:t>a</w:t>
      </w:r>
      <w:r w:rsidR="000477B8" w:rsidRPr="003A5141">
        <w:rPr>
          <w:rFonts w:asciiTheme="minorHAnsi" w:hAnsiTheme="minorHAnsi" w:cstheme="minorHAnsi"/>
          <w:bCs/>
          <w:snapToGrid w:val="0"/>
          <w:lang w:eastAsia="es-ES"/>
        </w:rPr>
        <w:t>cquisition finance</w:t>
      </w:r>
      <w:r w:rsidR="000477B8">
        <w:rPr>
          <w:rFonts w:asciiTheme="minorHAnsi" w:hAnsiTheme="minorHAnsi" w:cstheme="minorHAnsi"/>
          <w:bCs/>
          <w:snapToGrid w:val="0"/>
          <w:lang w:eastAsia="es-ES"/>
        </w:rPr>
        <w:t xml:space="preserve"> (Banking and Capital Markets), partner Florencia Angélico and associate Ezequiel Castello (Corporate Governance) and partner Pablo Muir (Tax). </w:t>
      </w:r>
      <w:r w:rsidR="009A6E91">
        <w:rPr>
          <w:rFonts w:asciiTheme="minorHAnsi" w:hAnsiTheme="minorHAnsi" w:cstheme="minorHAnsi"/>
          <w:bCs/>
          <w:snapToGrid w:val="0"/>
          <w:lang w:eastAsia="es-ES"/>
        </w:rPr>
        <w:t xml:space="preserve">Bruchou &amp; Funes de Rioja’s Tax team </w:t>
      </w:r>
      <w:r w:rsidR="009A6E91" w:rsidRPr="009A6E91">
        <w:rPr>
          <w:rFonts w:asciiTheme="minorHAnsi" w:hAnsiTheme="minorHAnsi" w:cstheme="minorHAnsi"/>
          <w:bCs/>
          <w:snapToGrid w:val="0"/>
          <w:lang w:eastAsia="es-ES"/>
        </w:rPr>
        <w:t>advised on the tax structuring of the transaction, which included several challenges related</w:t>
      </w:r>
      <w:r w:rsidR="00634B25">
        <w:rPr>
          <w:rFonts w:asciiTheme="minorHAnsi" w:hAnsiTheme="minorHAnsi" w:cstheme="minorHAnsi"/>
          <w:bCs/>
          <w:snapToGrid w:val="0"/>
          <w:lang w:eastAsia="es-ES"/>
        </w:rPr>
        <w:t>,</w:t>
      </w:r>
      <w:r w:rsidR="009A6E91" w:rsidRPr="009A6E91">
        <w:rPr>
          <w:rFonts w:asciiTheme="minorHAnsi" w:hAnsiTheme="minorHAnsi" w:cstheme="minorHAnsi"/>
          <w:bCs/>
          <w:snapToGrid w:val="0"/>
          <w:lang w:eastAsia="es-ES"/>
        </w:rPr>
        <w:t xml:space="preserve"> as to the modality and nature of the payment, as well as the particular structure of th</w:t>
      </w:r>
      <w:r w:rsidR="00634B25">
        <w:rPr>
          <w:rFonts w:asciiTheme="minorHAnsi" w:hAnsiTheme="minorHAnsi" w:cstheme="minorHAnsi"/>
          <w:bCs/>
          <w:snapToGrid w:val="0"/>
          <w:lang w:eastAsia="es-ES"/>
        </w:rPr>
        <w:t>e</w:t>
      </w:r>
      <w:r w:rsidR="009A6E91" w:rsidRPr="009A6E91">
        <w:rPr>
          <w:rFonts w:asciiTheme="minorHAnsi" w:hAnsiTheme="minorHAnsi" w:cstheme="minorHAnsi"/>
          <w:bCs/>
          <w:snapToGrid w:val="0"/>
          <w:lang w:eastAsia="es-ES"/>
        </w:rPr>
        <w:t xml:space="preserve"> deal. Furthermore, we collaborated with the buyer to develop the post-acquisition operating structure within the activities of the Group.</w:t>
      </w:r>
    </w:p>
    <w:p w14:paraId="3326E045" w14:textId="7B1ACF0E" w:rsidR="009C7305" w:rsidRDefault="00EB33C7" w:rsidP="001838F4">
      <w:pPr>
        <w:pStyle w:val="NormalWeb"/>
        <w:jc w:val="both"/>
        <w:rPr>
          <w:rFonts w:asciiTheme="minorHAnsi" w:hAnsiTheme="minorHAnsi" w:cstheme="minorHAnsi"/>
          <w:bCs/>
          <w:snapToGrid w:val="0"/>
          <w:lang w:eastAsia="es-ES"/>
        </w:rPr>
      </w:pPr>
      <w:r w:rsidRPr="00EB33C7">
        <w:rPr>
          <w:rFonts w:asciiTheme="minorHAnsi" w:hAnsiTheme="minorHAnsi" w:cstheme="minorHAnsi"/>
          <w:bCs/>
          <w:snapToGrid w:val="0"/>
          <w:lang w:eastAsia="es-ES"/>
        </w:rPr>
        <w:t>Clifford Chance LLP</w:t>
      </w:r>
      <w:r>
        <w:rPr>
          <w:rFonts w:asciiTheme="minorHAnsi" w:hAnsiTheme="minorHAnsi" w:cstheme="minorHAnsi"/>
          <w:bCs/>
          <w:snapToGrid w:val="0"/>
          <w:lang w:eastAsia="es-ES"/>
        </w:rPr>
        <w:t>’s</w:t>
      </w:r>
      <w:r w:rsidRPr="00EB33C7">
        <w:rPr>
          <w:rFonts w:asciiTheme="minorHAnsi" w:hAnsiTheme="minorHAnsi" w:cstheme="minorHAnsi"/>
          <w:bCs/>
          <w:snapToGrid w:val="0"/>
          <w:lang w:eastAsia="es-ES"/>
        </w:rPr>
        <w:t xml:space="preserve"> (London)</w:t>
      </w:r>
      <w:r>
        <w:rPr>
          <w:rFonts w:asciiTheme="minorHAnsi" w:hAnsiTheme="minorHAnsi" w:cstheme="minorHAnsi"/>
          <w:bCs/>
          <w:snapToGrid w:val="0"/>
          <w:lang w:eastAsia="es-ES"/>
        </w:rPr>
        <w:t xml:space="preserve"> team was </w:t>
      </w:r>
      <w:r w:rsidRPr="00EB33C7">
        <w:rPr>
          <w:rFonts w:asciiTheme="minorHAnsi" w:hAnsiTheme="minorHAnsi" w:cstheme="minorHAnsi"/>
          <w:bCs/>
          <w:snapToGrid w:val="0"/>
          <w:lang w:eastAsia="es-ES"/>
        </w:rPr>
        <w:t>led by partner Steven Fox and associates Olivia Higgs and Tom Masters</w:t>
      </w:r>
      <w:r w:rsidR="00D12D9D">
        <w:rPr>
          <w:rFonts w:asciiTheme="minorHAnsi" w:hAnsiTheme="minorHAnsi" w:cstheme="minorHAnsi"/>
          <w:bCs/>
          <w:snapToGrid w:val="0"/>
          <w:lang w:eastAsia="es-ES"/>
        </w:rPr>
        <w:t>,</w:t>
      </w:r>
      <w:r w:rsidR="009235F7">
        <w:rPr>
          <w:rFonts w:asciiTheme="minorHAnsi" w:hAnsiTheme="minorHAnsi" w:cstheme="minorHAnsi"/>
          <w:bCs/>
          <w:snapToGrid w:val="0"/>
          <w:lang w:eastAsia="es-ES"/>
        </w:rPr>
        <w:t xml:space="preserve"> and its New York team was </w:t>
      </w:r>
      <w:r w:rsidRPr="00EB33C7">
        <w:rPr>
          <w:rFonts w:asciiTheme="minorHAnsi" w:hAnsiTheme="minorHAnsi" w:cstheme="minorHAnsi"/>
          <w:bCs/>
          <w:snapToGrid w:val="0"/>
          <w:lang w:val="en-GB" w:eastAsia="es-ES"/>
        </w:rPr>
        <w:t>led by partners</w:t>
      </w:r>
      <w:r w:rsidRPr="00EB33C7">
        <w:rPr>
          <w:rFonts w:asciiTheme="minorHAnsi" w:hAnsiTheme="minorHAnsi" w:cstheme="minorHAnsi"/>
          <w:bCs/>
          <w:snapToGrid w:val="0"/>
          <w:lang w:eastAsia="es-ES"/>
        </w:rPr>
        <w:t xml:space="preserve"> </w:t>
      </w:r>
      <w:r w:rsidR="00AD0886" w:rsidRPr="00AD0886">
        <w:rPr>
          <w:rFonts w:asciiTheme="minorHAnsi" w:hAnsiTheme="minorHAnsi" w:cstheme="minorHAnsi"/>
          <w:bCs/>
          <w:snapToGrid w:val="0"/>
          <w:lang w:eastAsia="es-ES"/>
        </w:rPr>
        <w:t>David Brinton</w:t>
      </w:r>
      <w:r w:rsidR="00AD0886">
        <w:rPr>
          <w:rFonts w:asciiTheme="minorHAnsi" w:hAnsiTheme="minorHAnsi" w:cstheme="minorHAnsi"/>
          <w:bCs/>
          <w:snapToGrid w:val="0"/>
          <w:lang w:eastAsia="es-ES"/>
        </w:rPr>
        <w:t xml:space="preserve"> </w:t>
      </w:r>
      <w:r w:rsidRPr="00EB33C7">
        <w:rPr>
          <w:rFonts w:asciiTheme="minorHAnsi" w:hAnsiTheme="minorHAnsi" w:cstheme="minorHAnsi"/>
          <w:bCs/>
          <w:snapToGrid w:val="0"/>
          <w:lang w:eastAsia="es-ES"/>
        </w:rPr>
        <w:t>and Carla Ruggero</w:t>
      </w:r>
      <w:r w:rsidR="009235F7">
        <w:rPr>
          <w:rFonts w:asciiTheme="minorHAnsi" w:hAnsiTheme="minorHAnsi" w:cstheme="minorHAnsi"/>
          <w:bCs/>
          <w:snapToGrid w:val="0"/>
          <w:lang w:eastAsia="es-ES"/>
        </w:rPr>
        <w:t xml:space="preserve">, highlighting both firms’ strength in </w:t>
      </w:r>
      <w:r w:rsidR="00AC0F7E" w:rsidRPr="00E53330">
        <w:rPr>
          <w:rFonts w:asciiTheme="minorHAnsi" w:hAnsiTheme="minorHAnsi" w:cstheme="minorHAnsi"/>
          <w:bCs/>
          <w:snapToGrid w:val="0"/>
          <w:lang w:eastAsia="es-ES"/>
        </w:rPr>
        <w:t>high-profile</w:t>
      </w:r>
      <w:r w:rsidR="006D5706">
        <w:rPr>
          <w:rFonts w:asciiTheme="minorHAnsi" w:hAnsiTheme="minorHAnsi" w:cstheme="minorHAnsi"/>
          <w:bCs/>
          <w:snapToGrid w:val="0"/>
          <w:lang w:eastAsia="es-ES"/>
        </w:rPr>
        <w:t xml:space="preserve">, </w:t>
      </w:r>
      <w:r w:rsidR="003A5141" w:rsidRPr="003A5141">
        <w:rPr>
          <w:rFonts w:asciiTheme="minorHAnsi" w:hAnsiTheme="minorHAnsi" w:cstheme="minorHAnsi"/>
          <w:bCs/>
          <w:snapToGrid w:val="0"/>
          <w:lang w:eastAsia="es-ES"/>
        </w:rPr>
        <w:t xml:space="preserve">complex and cross-border M&amp;A transactions in the oil and gas industry. </w:t>
      </w:r>
    </w:p>
    <w:p w14:paraId="6E75E4A9" w14:textId="0C1ED726" w:rsidR="00E9238B" w:rsidRDefault="00BB0ED4" w:rsidP="00E9238B">
      <w:pPr>
        <w:pStyle w:val="NormalWeb"/>
        <w:spacing w:after="240"/>
        <w:jc w:val="both"/>
        <w:rPr>
          <w:rFonts w:asciiTheme="minorHAnsi" w:hAnsiTheme="minorHAnsi" w:cstheme="minorHAnsi"/>
          <w:snapToGrid w:val="0"/>
          <w:lang w:eastAsia="es-ES"/>
        </w:rPr>
      </w:pPr>
      <w:r w:rsidRPr="00BB0ED4">
        <w:rPr>
          <w:rFonts w:asciiTheme="minorHAnsi" w:hAnsiTheme="minorHAnsi" w:cstheme="minorHAnsi"/>
          <w:bCs/>
          <w:snapToGrid w:val="0"/>
          <w:lang w:eastAsia="es-ES"/>
        </w:rPr>
        <w:t xml:space="preserve">Additionally, </w:t>
      </w:r>
      <w:r w:rsidR="00B31792" w:rsidRPr="00282AF1">
        <w:rPr>
          <w:rFonts w:asciiTheme="minorHAnsi" w:hAnsiTheme="minorHAnsi" w:cstheme="minorHAnsi"/>
          <w:bCs/>
          <w:snapToGrid w:val="0"/>
          <w:lang w:eastAsia="es-ES"/>
        </w:rPr>
        <w:t xml:space="preserve">Vista was </w:t>
      </w:r>
      <w:r w:rsidRPr="00BB0ED4">
        <w:rPr>
          <w:rFonts w:asciiTheme="minorHAnsi" w:hAnsiTheme="minorHAnsi" w:cstheme="minorHAnsi"/>
          <w:bCs/>
          <w:snapToGrid w:val="0"/>
          <w:lang w:eastAsia="es-ES"/>
        </w:rPr>
        <w:t xml:space="preserve">advised by </w:t>
      </w:r>
      <w:r w:rsidR="003B7C7B" w:rsidRPr="00AE3B0E">
        <w:rPr>
          <w:rFonts w:asciiTheme="minorHAnsi" w:hAnsiTheme="minorHAnsi" w:cstheme="minorHAnsi"/>
          <w:bCs/>
          <w:snapToGrid w:val="0"/>
          <w:lang w:eastAsia="es-ES"/>
        </w:rPr>
        <w:t xml:space="preserve">Creel, García-Cuéllar, Aiza y Enríquez (Mexico), led by Partner Carlos </w:t>
      </w:r>
      <w:proofErr w:type="spellStart"/>
      <w:r w:rsidR="003B7C7B" w:rsidRPr="00AE3B0E">
        <w:rPr>
          <w:rFonts w:asciiTheme="minorHAnsi" w:hAnsiTheme="minorHAnsi" w:cstheme="minorHAnsi"/>
          <w:bCs/>
          <w:snapToGrid w:val="0"/>
          <w:lang w:eastAsia="es-ES"/>
        </w:rPr>
        <w:t>Zamarrón</w:t>
      </w:r>
      <w:proofErr w:type="spellEnd"/>
      <w:r w:rsidR="003B7C7B" w:rsidRPr="00AE3B0E">
        <w:rPr>
          <w:rFonts w:asciiTheme="minorHAnsi" w:hAnsiTheme="minorHAnsi" w:cstheme="minorHAnsi"/>
          <w:bCs/>
          <w:snapToGrid w:val="0"/>
          <w:lang w:eastAsia="es-ES"/>
        </w:rPr>
        <w:t xml:space="preserve">, </w:t>
      </w:r>
      <w:r w:rsidR="00D035D9">
        <w:rPr>
          <w:rFonts w:asciiTheme="minorHAnsi" w:hAnsiTheme="minorHAnsi" w:cstheme="minorHAnsi"/>
          <w:bCs/>
          <w:snapToGrid w:val="0"/>
          <w:lang w:eastAsia="es-ES"/>
        </w:rPr>
        <w:t xml:space="preserve">Counsel Crisanto Sánchez Carrillo </w:t>
      </w:r>
      <w:r w:rsidR="00690D55">
        <w:rPr>
          <w:rFonts w:asciiTheme="minorHAnsi" w:hAnsiTheme="minorHAnsi" w:cstheme="minorHAnsi"/>
          <w:bCs/>
          <w:snapToGrid w:val="0"/>
          <w:lang w:eastAsia="es-ES"/>
        </w:rPr>
        <w:t xml:space="preserve">and associates </w:t>
      </w:r>
      <w:r w:rsidR="00690D55" w:rsidRPr="007856F1">
        <w:rPr>
          <w:rFonts w:asciiTheme="minorHAnsi" w:hAnsiTheme="minorHAnsi" w:cstheme="minorHAnsi"/>
          <w:snapToGrid w:val="0"/>
          <w:lang w:eastAsia="es-ES"/>
        </w:rPr>
        <w:t>Alejandro González Cruz and Juan Carlos Hernández Peláez</w:t>
      </w:r>
      <w:r w:rsidR="00690D55">
        <w:rPr>
          <w:rFonts w:asciiTheme="minorHAnsi" w:hAnsiTheme="minorHAnsi" w:cstheme="minorHAnsi"/>
          <w:snapToGrid w:val="0"/>
          <w:lang w:eastAsia="es-ES"/>
        </w:rPr>
        <w:t xml:space="preserve">; </w:t>
      </w:r>
      <w:r w:rsidR="00E0482A">
        <w:rPr>
          <w:rFonts w:asciiTheme="minorHAnsi" w:hAnsiTheme="minorHAnsi" w:cstheme="minorHAnsi"/>
          <w:bCs/>
          <w:snapToGrid w:val="0"/>
          <w:lang w:eastAsia="es-ES"/>
        </w:rPr>
        <w:t xml:space="preserve">and </w:t>
      </w:r>
      <w:r w:rsidR="002B11CF" w:rsidRPr="009D69A1">
        <w:rPr>
          <w:rFonts w:asciiTheme="minorHAnsi" w:hAnsiTheme="minorHAnsi" w:cstheme="minorHAnsi"/>
          <w:bCs/>
          <w:snapToGrid w:val="0"/>
          <w:lang w:eastAsia="es-ES"/>
        </w:rPr>
        <w:t>Cleary Gottlieb Steen &amp; Hamilton LLP</w:t>
      </w:r>
      <w:r w:rsidR="00BC5982" w:rsidRPr="009D69A1">
        <w:rPr>
          <w:rFonts w:asciiTheme="minorHAnsi" w:hAnsiTheme="minorHAnsi" w:cstheme="minorHAnsi"/>
          <w:bCs/>
          <w:snapToGrid w:val="0"/>
          <w:lang w:eastAsia="es-ES"/>
        </w:rPr>
        <w:t xml:space="preserve"> (NY),</w:t>
      </w:r>
      <w:r w:rsidR="00C53323" w:rsidRPr="009D69A1">
        <w:rPr>
          <w:rFonts w:asciiTheme="minorHAnsi" w:hAnsiTheme="minorHAnsi" w:cstheme="minorHAnsi"/>
          <w:bCs/>
          <w:snapToGrid w:val="0"/>
          <w:lang w:eastAsia="es-ES"/>
        </w:rPr>
        <w:t xml:space="preserve"> led by partner </w:t>
      </w:r>
      <w:r w:rsidR="002B11CF" w:rsidRPr="009D69A1">
        <w:rPr>
          <w:rFonts w:asciiTheme="minorHAnsi" w:hAnsiTheme="minorHAnsi" w:cstheme="minorHAnsi"/>
          <w:bCs/>
          <w:snapToGrid w:val="0"/>
          <w:lang w:eastAsia="es-ES"/>
        </w:rPr>
        <w:t>Manuel Silva</w:t>
      </w:r>
      <w:r w:rsidR="00BD054B">
        <w:rPr>
          <w:rFonts w:asciiTheme="minorHAnsi" w:hAnsiTheme="minorHAnsi" w:cstheme="minorHAnsi"/>
          <w:bCs/>
          <w:snapToGrid w:val="0"/>
          <w:lang w:eastAsia="es-ES"/>
        </w:rPr>
        <w:t xml:space="preserve"> together with </w:t>
      </w:r>
      <w:r w:rsidR="0081131C">
        <w:rPr>
          <w:rFonts w:asciiTheme="minorHAnsi" w:hAnsiTheme="minorHAnsi" w:cstheme="minorHAnsi"/>
          <w:bCs/>
          <w:snapToGrid w:val="0"/>
          <w:lang w:eastAsia="es-ES"/>
        </w:rPr>
        <w:t xml:space="preserve">associates </w:t>
      </w:r>
      <w:r w:rsidR="0081131C" w:rsidRPr="007856F1">
        <w:rPr>
          <w:rFonts w:asciiTheme="minorHAnsi" w:hAnsiTheme="minorHAnsi" w:cstheme="minorHAnsi"/>
          <w:snapToGrid w:val="0"/>
          <w:lang w:eastAsia="es-ES"/>
        </w:rPr>
        <w:t>Rodrigo López Lapeña y Lara Gomez Tomei</w:t>
      </w:r>
      <w:r w:rsidR="00C53323" w:rsidRPr="009D69A1">
        <w:rPr>
          <w:rFonts w:asciiTheme="minorHAnsi" w:hAnsiTheme="minorHAnsi" w:cstheme="minorHAnsi"/>
          <w:bCs/>
          <w:snapToGrid w:val="0"/>
          <w:lang w:eastAsia="es-ES"/>
        </w:rPr>
        <w:t xml:space="preserve">. </w:t>
      </w:r>
      <w:r w:rsidR="00E9238B" w:rsidRPr="0010616C">
        <w:rPr>
          <w:szCs w:val="20"/>
        </w:rPr>
        <w:t>Vista In</w:t>
      </w:r>
      <w:r w:rsidR="00E9238B">
        <w:rPr>
          <w:szCs w:val="20"/>
        </w:rPr>
        <w:t>-</w:t>
      </w:r>
      <w:r w:rsidR="00E9238B" w:rsidRPr="0010616C">
        <w:rPr>
          <w:szCs w:val="20"/>
        </w:rPr>
        <w:t xml:space="preserve">House team: led by Pablo De Michelis and Nicolas Marino, from the BD team, and Rosario </w:t>
      </w:r>
      <w:proofErr w:type="spellStart"/>
      <w:r w:rsidR="00E9238B" w:rsidRPr="0010616C">
        <w:rPr>
          <w:szCs w:val="20"/>
        </w:rPr>
        <w:t>Maffrand</w:t>
      </w:r>
      <w:proofErr w:type="spellEnd"/>
      <w:r w:rsidR="00E9238B" w:rsidRPr="0010616C">
        <w:rPr>
          <w:szCs w:val="20"/>
        </w:rPr>
        <w:t xml:space="preserve"> in-house lawyer</w:t>
      </w:r>
      <w:r w:rsidR="00E9238B">
        <w:rPr>
          <w:szCs w:val="20"/>
        </w:rPr>
        <w:t>.</w:t>
      </w:r>
    </w:p>
    <w:p w14:paraId="51F5BEB0" w14:textId="22CF26F2" w:rsidR="0010616C" w:rsidRDefault="00E93CE8" w:rsidP="008B0E04">
      <w:pPr>
        <w:pStyle w:val="NormalWeb"/>
        <w:spacing w:after="240"/>
        <w:jc w:val="both"/>
        <w:rPr>
          <w:szCs w:val="20"/>
        </w:rPr>
      </w:pPr>
      <w:r w:rsidRPr="009D69A1">
        <w:rPr>
          <w:rFonts w:asciiTheme="minorHAnsi" w:hAnsiTheme="minorHAnsi" w:cstheme="minorHAnsi"/>
          <w:bCs/>
          <w:snapToGrid w:val="0"/>
          <w:lang w:eastAsia="es-ES"/>
        </w:rPr>
        <w:t xml:space="preserve">Mayer Brown LLP advised </w:t>
      </w:r>
      <w:r w:rsidR="007559A6" w:rsidRPr="009D69A1">
        <w:rPr>
          <w:rFonts w:asciiTheme="minorHAnsi" w:hAnsiTheme="minorHAnsi" w:cstheme="minorHAnsi"/>
          <w:bCs/>
          <w:snapToGrid w:val="0"/>
          <w:lang w:eastAsia="es-ES"/>
        </w:rPr>
        <w:t xml:space="preserve">Petronas </w:t>
      </w:r>
      <w:r w:rsidR="00B44AA3" w:rsidRPr="009D69A1">
        <w:rPr>
          <w:rFonts w:asciiTheme="minorHAnsi" w:hAnsiTheme="minorHAnsi" w:cstheme="minorHAnsi"/>
          <w:bCs/>
          <w:snapToGrid w:val="0"/>
          <w:lang w:eastAsia="es-ES"/>
        </w:rPr>
        <w:t>with a team l</w:t>
      </w:r>
      <w:r w:rsidRPr="007559A6">
        <w:rPr>
          <w:rFonts w:asciiTheme="minorHAnsi" w:hAnsiTheme="minorHAnsi" w:cstheme="minorHAnsi"/>
          <w:bCs/>
          <w:snapToGrid w:val="0"/>
          <w:lang w:eastAsia="es-ES"/>
        </w:rPr>
        <w:t xml:space="preserve">ed by </w:t>
      </w:r>
      <w:r w:rsidR="00B44AA3">
        <w:rPr>
          <w:rFonts w:asciiTheme="minorHAnsi" w:hAnsiTheme="minorHAnsi" w:cstheme="minorHAnsi"/>
          <w:bCs/>
          <w:snapToGrid w:val="0"/>
          <w:lang w:eastAsia="es-ES"/>
        </w:rPr>
        <w:t xml:space="preserve">partner </w:t>
      </w:r>
      <w:r w:rsidRPr="009D69A1">
        <w:rPr>
          <w:rFonts w:asciiTheme="minorHAnsi" w:hAnsiTheme="minorHAnsi" w:cstheme="minorHAnsi"/>
          <w:bCs/>
          <w:snapToGrid w:val="0"/>
          <w:lang w:eastAsia="es-ES"/>
        </w:rPr>
        <w:t xml:space="preserve">Pablo Ferrante </w:t>
      </w:r>
      <w:r w:rsidR="006154BC">
        <w:rPr>
          <w:rFonts w:asciiTheme="minorHAnsi" w:hAnsiTheme="minorHAnsi" w:cstheme="minorHAnsi"/>
          <w:bCs/>
          <w:snapToGrid w:val="0"/>
          <w:lang w:eastAsia="es-ES"/>
        </w:rPr>
        <w:t xml:space="preserve">together with partner Bob Palmer </w:t>
      </w:r>
      <w:r w:rsidRPr="009D69A1">
        <w:rPr>
          <w:rFonts w:asciiTheme="minorHAnsi" w:hAnsiTheme="minorHAnsi" w:cstheme="minorHAnsi"/>
          <w:bCs/>
          <w:snapToGrid w:val="0"/>
          <w:lang w:eastAsia="es-ES"/>
        </w:rPr>
        <w:t xml:space="preserve">and </w:t>
      </w:r>
      <w:r w:rsidR="00B44AA3" w:rsidRPr="009D69A1">
        <w:rPr>
          <w:rFonts w:asciiTheme="minorHAnsi" w:hAnsiTheme="minorHAnsi" w:cstheme="minorHAnsi"/>
          <w:bCs/>
          <w:snapToGrid w:val="0"/>
          <w:lang w:eastAsia="es-ES"/>
        </w:rPr>
        <w:t>senior associate</w:t>
      </w:r>
      <w:r w:rsidR="00C64E3F">
        <w:rPr>
          <w:rFonts w:asciiTheme="minorHAnsi" w:hAnsiTheme="minorHAnsi" w:cstheme="minorHAnsi"/>
          <w:bCs/>
          <w:snapToGrid w:val="0"/>
          <w:lang w:eastAsia="es-ES"/>
        </w:rPr>
        <w:t>s</w:t>
      </w:r>
      <w:r w:rsidR="00B44AA3" w:rsidRPr="009D69A1">
        <w:rPr>
          <w:rFonts w:asciiTheme="minorHAnsi" w:hAnsiTheme="minorHAnsi" w:cstheme="minorHAnsi"/>
          <w:bCs/>
          <w:snapToGrid w:val="0"/>
          <w:lang w:eastAsia="es-ES"/>
        </w:rPr>
        <w:t xml:space="preserve"> </w:t>
      </w:r>
      <w:r w:rsidRPr="009D69A1">
        <w:rPr>
          <w:rFonts w:asciiTheme="minorHAnsi" w:hAnsiTheme="minorHAnsi" w:cstheme="minorHAnsi"/>
          <w:bCs/>
          <w:snapToGrid w:val="0"/>
          <w:lang w:eastAsia="es-ES"/>
        </w:rPr>
        <w:t>Federica Castro</w:t>
      </w:r>
      <w:r w:rsidR="00C64E3F">
        <w:rPr>
          <w:rFonts w:asciiTheme="minorHAnsi" w:hAnsiTheme="minorHAnsi" w:cstheme="minorHAnsi"/>
          <w:bCs/>
          <w:snapToGrid w:val="0"/>
          <w:lang w:eastAsia="es-ES"/>
        </w:rPr>
        <w:t xml:space="preserve"> and Lucía Londoño</w:t>
      </w:r>
      <w:r w:rsidR="003126AA" w:rsidRPr="009D69A1">
        <w:rPr>
          <w:rFonts w:asciiTheme="minorHAnsi" w:hAnsiTheme="minorHAnsi" w:cstheme="minorHAnsi"/>
          <w:bCs/>
          <w:snapToGrid w:val="0"/>
          <w:lang w:eastAsia="es-ES"/>
        </w:rPr>
        <w:t>. Petronas was also</w:t>
      </w:r>
      <w:r w:rsidR="003126AA">
        <w:rPr>
          <w:rFonts w:asciiTheme="minorHAnsi" w:hAnsiTheme="minorHAnsi" w:cstheme="minorHAnsi"/>
          <w:snapToGrid w:val="0"/>
          <w:lang w:eastAsia="es-ES"/>
        </w:rPr>
        <w:t xml:space="preserve"> advised </w:t>
      </w:r>
      <w:r w:rsidR="008D465C">
        <w:rPr>
          <w:rFonts w:asciiTheme="minorHAnsi" w:hAnsiTheme="minorHAnsi" w:cstheme="minorHAnsi"/>
          <w:snapToGrid w:val="0"/>
          <w:lang w:eastAsia="es-ES"/>
        </w:rPr>
        <w:t xml:space="preserve">locally </w:t>
      </w:r>
      <w:r w:rsidR="003126AA">
        <w:rPr>
          <w:rFonts w:asciiTheme="minorHAnsi" w:hAnsiTheme="minorHAnsi" w:cstheme="minorHAnsi"/>
          <w:snapToGrid w:val="0"/>
          <w:lang w:eastAsia="es-ES"/>
        </w:rPr>
        <w:t xml:space="preserve">by </w:t>
      </w:r>
      <w:r w:rsidR="003126AA" w:rsidRPr="003126AA">
        <w:rPr>
          <w:rFonts w:asciiTheme="minorHAnsi" w:hAnsiTheme="minorHAnsi" w:cstheme="minorHAnsi"/>
          <w:snapToGrid w:val="0"/>
          <w:lang w:eastAsia="es-ES"/>
        </w:rPr>
        <w:t xml:space="preserve">Marval O’Farrell </w:t>
      </w:r>
      <w:r w:rsidR="009D69A1">
        <w:rPr>
          <w:rFonts w:asciiTheme="minorHAnsi" w:hAnsiTheme="minorHAnsi" w:cstheme="minorHAnsi"/>
          <w:snapToGrid w:val="0"/>
          <w:lang w:eastAsia="es-ES"/>
        </w:rPr>
        <w:t xml:space="preserve">&amp; </w:t>
      </w:r>
      <w:r w:rsidR="003126AA" w:rsidRPr="003126AA">
        <w:rPr>
          <w:rFonts w:asciiTheme="minorHAnsi" w:hAnsiTheme="minorHAnsi" w:cstheme="minorHAnsi"/>
          <w:snapToGrid w:val="0"/>
          <w:lang w:eastAsia="es-ES"/>
        </w:rPr>
        <w:t xml:space="preserve">Mairal </w:t>
      </w:r>
      <w:r w:rsidR="008D465C">
        <w:rPr>
          <w:rFonts w:asciiTheme="minorHAnsi" w:hAnsiTheme="minorHAnsi" w:cstheme="minorHAnsi"/>
          <w:snapToGrid w:val="0"/>
          <w:lang w:eastAsia="es-ES"/>
        </w:rPr>
        <w:t>with a team including partner</w:t>
      </w:r>
      <w:r w:rsidR="006A4D31">
        <w:rPr>
          <w:rFonts w:asciiTheme="minorHAnsi" w:hAnsiTheme="minorHAnsi" w:cstheme="minorHAnsi"/>
          <w:snapToGrid w:val="0"/>
          <w:lang w:eastAsia="es-ES"/>
        </w:rPr>
        <w:t xml:space="preserve">s Francisco Macías, </w:t>
      </w:r>
      <w:r w:rsidR="003126AA" w:rsidRPr="003126AA">
        <w:rPr>
          <w:rFonts w:asciiTheme="minorHAnsi" w:hAnsiTheme="minorHAnsi" w:cstheme="minorHAnsi"/>
          <w:snapToGrid w:val="0"/>
          <w:lang w:eastAsia="es-ES"/>
        </w:rPr>
        <w:t xml:space="preserve">María Laura </w:t>
      </w:r>
      <w:proofErr w:type="spellStart"/>
      <w:r w:rsidR="003126AA" w:rsidRPr="003126AA">
        <w:rPr>
          <w:rFonts w:asciiTheme="minorHAnsi" w:hAnsiTheme="minorHAnsi" w:cstheme="minorHAnsi"/>
          <w:snapToGrid w:val="0"/>
          <w:lang w:eastAsia="es-ES"/>
        </w:rPr>
        <w:t>Bolatti</w:t>
      </w:r>
      <w:proofErr w:type="spellEnd"/>
      <w:r w:rsidR="003126AA" w:rsidRPr="003126AA">
        <w:rPr>
          <w:rFonts w:asciiTheme="minorHAnsi" w:hAnsiTheme="minorHAnsi" w:cstheme="minorHAnsi"/>
          <w:snapToGrid w:val="0"/>
          <w:lang w:eastAsia="es-ES"/>
        </w:rPr>
        <w:t xml:space="preserve"> Cristofaro</w:t>
      </w:r>
      <w:r w:rsidR="007016D1">
        <w:rPr>
          <w:rFonts w:asciiTheme="minorHAnsi" w:hAnsiTheme="minorHAnsi" w:cstheme="minorHAnsi"/>
          <w:snapToGrid w:val="0"/>
          <w:lang w:eastAsia="es-ES"/>
        </w:rPr>
        <w:t xml:space="preserve">, Soledad Riera, Bárbara </w:t>
      </w:r>
      <w:proofErr w:type="spellStart"/>
      <w:r w:rsidR="007016D1">
        <w:rPr>
          <w:rFonts w:asciiTheme="minorHAnsi" w:hAnsiTheme="minorHAnsi" w:cstheme="minorHAnsi"/>
          <w:snapToGrid w:val="0"/>
          <w:lang w:eastAsia="es-ES"/>
        </w:rPr>
        <w:t>Ramperti</w:t>
      </w:r>
      <w:proofErr w:type="spellEnd"/>
      <w:r w:rsidR="006E3372">
        <w:rPr>
          <w:rFonts w:asciiTheme="minorHAnsi" w:hAnsiTheme="minorHAnsi" w:cstheme="minorHAnsi"/>
          <w:snapToGrid w:val="0"/>
          <w:lang w:eastAsia="es-ES"/>
        </w:rPr>
        <w:t>, Francisco Abeal, Luciana Virgile</w:t>
      </w:r>
      <w:r w:rsidR="00D05815">
        <w:rPr>
          <w:rFonts w:asciiTheme="minorHAnsi" w:hAnsiTheme="minorHAnsi" w:cstheme="minorHAnsi"/>
          <w:snapToGrid w:val="0"/>
          <w:lang w:eastAsia="es-ES"/>
        </w:rPr>
        <w:t xml:space="preserve"> and associates</w:t>
      </w:r>
      <w:r w:rsidR="003126AA" w:rsidRPr="003126AA">
        <w:rPr>
          <w:rFonts w:asciiTheme="minorHAnsi" w:hAnsiTheme="minorHAnsi" w:cstheme="minorHAnsi"/>
          <w:snapToGrid w:val="0"/>
          <w:lang w:eastAsia="es-ES"/>
        </w:rPr>
        <w:t xml:space="preserve"> </w:t>
      </w:r>
      <w:r w:rsidR="00D05815" w:rsidRPr="003126AA">
        <w:rPr>
          <w:rFonts w:asciiTheme="minorHAnsi" w:hAnsiTheme="minorHAnsi" w:cstheme="minorHAnsi"/>
          <w:snapToGrid w:val="0"/>
          <w:lang w:eastAsia="es-ES"/>
        </w:rPr>
        <w:t xml:space="preserve">Maria Virginia </w:t>
      </w:r>
      <w:proofErr w:type="spellStart"/>
      <w:r w:rsidR="00D05815" w:rsidRPr="003126AA">
        <w:rPr>
          <w:rFonts w:asciiTheme="minorHAnsi" w:hAnsiTheme="minorHAnsi" w:cstheme="minorHAnsi"/>
          <w:snapToGrid w:val="0"/>
          <w:lang w:eastAsia="es-ES"/>
        </w:rPr>
        <w:t>Canzonieri</w:t>
      </w:r>
      <w:proofErr w:type="spellEnd"/>
      <w:r w:rsidR="00D05815" w:rsidRPr="003126AA">
        <w:rPr>
          <w:rFonts w:asciiTheme="minorHAnsi" w:hAnsiTheme="minorHAnsi" w:cstheme="minorHAnsi"/>
          <w:snapToGrid w:val="0"/>
          <w:lang w:eastAsia="es-ES"/>
        </w:rPr>
        <w:t xml:space="preserve">, </w:t>
      </w:r>
      <w:r w:rsidR="00EF6027">
        <w:rPr>
          <w:rFonts w:asciiTheme="minorHAnsi" w:hAnsiTheme="minorHAnsi" w:cstheme="minorHAnsi"/>
          <w:snapToGrid w:val="0"/>
          <w:lang w:eastAsia="es-ES"/>
        </w:rPr>
        <w:t xml:space="preserve">Gabriel </w:t>
      </w:r>
      <w:proofErr w:type="spellStart"/>
      <w:r w:rsidR="00EF6027">
        <w:rPr>
          <w:rFonts w:asciiTheme="minorHAnsi" w:hAnsiTheme="minorHAnsi" w:cstheme="minorHAnsi"/>
          <w:snapToGrid w:val="0"/>
          <w:lang w:eastAsia="es-ES"/>
        </w:rPr>
        <w:t>Fortuna</w:t>
      </w:r>
      <w:r w:rsidR="002C5D65">
        <w:rPr>
          <w:rFonts w:asciiTheme="minorHAnsi" w:hAnsiTheme="minorHAnsi" w:cstheme="minorHAnsi"/>
          <w:snapToGrid w:val="0"/>
          <w:lang w:eastAsia="es-ES"/>
        </w:rPr>
        <w:t>,</w:t>
      </w:r>
      <w:r w:rsidR="003126AA" w:rsidRPr="003126AA">
        <w:rPr>
          <w:rFonts w:asciiTheme="minorHAnsi" w:hAnsiTheme="minorHAnsi" w:cstheme="minorHAnsi"/>
          <w:snapToGrid w:val="0"/>
          <w:lang w:eastAsia="es-ES"/>
        </w:rPr>
        <w:t>María</w:t>
      </w:r>
      <w:proofErr w:type="spellEnd"/>
      <w:r w:rsidR="003126AA" w:rsidRPr="003126AA">
        <w:rPr>
          <w:rFonts w:asciiTheme="minorHAnsi" w:hAnsiTheme="minorHAnsi" w:cstheme="minorHAnsi"/>
          <w:snapToGrid w:val="0"/>
          <w:lang w:eastAsia="es-ES"/>
        </w:rPr>
        <w:t xml:space="preserve"> Victoria Gonzalez</w:t>
      </w:r>
      <w:r w:rsidR="002C5D65">
        <w:rPr>
          <w:rFonts w:asciiTheme="minorHAnsi" w:hAnsiTheme="minorHAnsi" w:cstheme="minorHAnsi"/>
          <w:snapToGrid w:val="0"/>
          <w:lang w:eastAsia="es-ES"/>
        </w:rPr>
        <w:t xml:space="preserve"> and Gabriela Vidart </w:t>
      </w:r>
      <w:proofErr w:type="spellStart"/>
      <w:r w:rsidR="002C5D65">
        <w:rPr>
          <w:rFonts w:asciiTheme="minorHAnsi" w:hAnsiTheme="minorHAnsi" w:cstheme="minorHAnsi"/>
          <w:snapToGrid w:val="0"/>
          <w:lang w:eastAsia="es-ES"/>
        </w:rPr>
        <w:t>Egaña</w:t>
      </w:r>
      <w:proofErr w:type="spellEnd"/>
      <w:r w:rsidR="002C5D65">
        <w:rPr>
          <w:rFonts w:asciiTheme="minorHAnsi" w:hAnsiTheme="minorHAnsi" w:cstheme="minorHAnsi"/>
          <w:snapToGrid w:val="0"/>
          <w:lang w:eastAsia="es-ES"/>
        </w:rPr>
        <w:t xml:space="preserve">. </w:t>
      </w:r>
    </w:p>
    <w:p w14:paraId="39AEFB2F" w14:textId="69C966B3" w:rsidR="00D31812" w:rsidRPr="004C074E" w:rsidRDefault="008B0E04" w:rsidP="00D31812">
      <w:pPr>
        <w:pStyle w:val="NormalWeb"/>
        <w:spacing w:after="240"/>
        <w:jc w:val="both"/>
        <w:rPr>
          <w:rFonts w:asciiTheme="minorHAnsi" w:hAnsiTheme="minorHAnsi" w:cstheme="minorHAnsi"/>
          <w:bCs/>
          <w:snapToGrid w:val="0"/>
          <w:lang w:eastAsia="es-ES"/>
        </w:rPr>
      </w:pPr>
      <w:r w:rsidRPr="008B0E04">
        <w:rPr>
          <w:rFonts w:asciiTheme="minorHAnsi" w:hAnsiTheme="minorHAnsi" w:cstheme="minorHAnsi"/>
          <w:snapToGrid w:val="0"/>
          <w:lang w:eastAsia="es-ES"/>
        </w:rPr>
        <w:lastRenderedPageBreak/>
        <w:t>With this acquisition Vista has become the largest independent oil producer of Argentina with an accumulated investment of more than $6,000 million since 2018</w:t>
      </w:r>
      <w:r w:rsidR="008B6328">
        <w:rPr>
          <w:rFonts w:asciiTheme="minorHAnsi" w:hAnsiTheme="minorHAnsi" w:cstheme="minorHAnsi"/>
          <w:snapToGrid w:val="0"/>
          <w:lang w:eastAsia="es-ES"/>
        </w:rPr>
        <w:t>.</w:t>
      </w:r>
      <w:r w:rsidRPr="008B0E04">
        <w:rPr>
          <w:rFonts w:asciiTheme="minorHAnsi" w:hAnsiTheme="minorHAnsi" w:cstheme="minorHAnsi"/>
          <w:snapToGrid w:val="0"/>
          <w:lang w:eastAsia="es-ES"/>
        </w:rPr>
        <w:t xml:space="preserve"> </w:t>
      </w:r>
    </w:p>
    <w:p w14:paraId="65606523" w14:textId="6F05E1D7" w:rsidR="008B0E04" w:rsidRPr="005B1652" w:rsidRDefault="008B0E04" w:rsidP="008B0E04">
      <w:pPr>
        <w:pStyle w:val="NormalWeb"/>
        <w:spacing w:after="240"/>
        <w:jc w:val="both"/>
        <w:rPr>
          <w:rFonts w:asciiTheme="minorHAnsi" w:hAnsiTheme="minorHAnsi" w:cstheme="minorHAnsi"/>
          <w:snapToGrid w:val="0"/>
          <w:lang w:eastAsia="es-ES"/>
        </w:rPr>
      </w:pPr>
    </w:p>
    <w:sectPr w:rsidR="008B0E04" w:rsidRPr="005B1652" w:rsidSect="0093559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701" w:left="1134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32B15" w14:textId="77777777" w:rsidR="0049210C" w:rsidRDefault="0049210C">
      <w:r>
        <w:separator/>
      </w:r>
    </w:p>
  </w:endnote>
  <w:endnote w:type="continuationSeparator" w:id="0">
    <w:p w14:paraId="07964C0B" w14:textId="77777777" w:rsidR="0049210C" w:rsidRDefault="0049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1421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3E89D3" w14:textId="23DADB89" w:rsidR="00E908DC" w:rsidRDefault="00E908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C3269A" w14:textId="0207CC8A" w:rsidR="00882F5C" w:rsidRPr="00043B3C" w:rsidRDefault="00882F5C" w:rsidP="00016672">
    <w:pPr>
      <w:pStyle w:val="NormalWeb"/>
      <w:spacing w:before="0" w:beforeAutospacing="0" w:after="0" w:afterAutospacing="0"/>
      <w:jc w:val="right"/>
      <w:rPr>
        <w:rFonts w:ascii="Arial" w:hAnsi="Arial" w:cs="Arial"/>
        <w:iCs/>
        <w:sz w:val="12"/>
        <w:szCs w:val="12"/>
        <w:lang w:val="es-A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ED310" w14:textId="76F2C4E3" w:rsidR="001C1DC0" w:rsidRDefault="00147C64" w:rsidP="00386C67">
    <w:pPr>
      <w:pStyle w:val="NormalWeb"/>
      <w:spacing w:before="0" w:beforeAutospacing="0" w:after="0" w:afterAutospacing="0"/>
      <w:rPr>
        <w:rFonts w:ascii="Arial" w:hAnsi="Arial" w:cs="Arial"/>
        <w:iCs/>
        <w:sz w:val="12"/>
        <w:szCs w:val="12"/>
        <w:lang w:val="es-A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1B62BB" wp14:editId="7450AD93">
              <wp:simplePos x="0" y="0"/>
              <wp:positionH relativeFrom="margin">
                <wp:posOffset>3810</wp:posOffset>
              </wp:positionH>
              <wp:positionV relativeFrom="paragraph">
                <wp:posOffset>-210185</wp:posOffset>
              </wp:positionV>
              <wp:extent cx="610552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F126B1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3pt,-16.55pt" to="481.05pt,-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" strokecolor="#d8d8d8 [2732]" strokeweight=".5pt">
              <v:stroke joinstyle="miter"/>
              <w10:wrap anchorx="margin"/>
            </v:line>
          </w:pict>
        </mc:Fallback>
      </mc:AlternateContent>
    </w:r>
  </w:p>
  <w:p w14:paraId="6EE3D7AA" w14:textId="5A783BAA" w:rsidR="00882F5C" w:rsidRPr="002E01E4" w:rsidRDefault="00651C2E" w:rsidP="002E01E4">
    <w:pPr>
      <w:pStyle w:val="NormalWeb"/>
      <w:spacing w:before="0" w:beforeAutospacing="0" w:after="0" w:afterAutospacing="0"/>
      <w:jc w:val="right"/>
      <w:rPr>
        <w:rFonts w:ascii="Verdana" w:hAnsi="Verdana" w:cs="Arial"/>
        <w:bCs/>
        <w:iCs/>
        <w:color w:val="FF0000"/>
        <w:sz w:val="16"/>
        <w:szCs w:val="16"/>
        <w:lang w:val="es-AR"/>
      </w:rPr>
    </w:pPr>
    <w:r w:rsidRPr="002E01E4">
      <w:rPr>
        <w:rFonts w:ascii="Verdana" w:hAnsi="Verdana" w:cs="Arial"/>
        <w:bCs/>
        <w:iCs/>
        <w:color w:val="FF0000"/>
        <w:sz w:val="16"/>
        <w:szCs w:val="16"/>
        <w:lang w:val="es-AR"/>
      </w:rPr>
      <w:t>www.bruchou</w:t>
    </w:r>
    <w:r w:rsidR="002E01E4" w:rsidRPr="002E01E4">
      <w:rPr>
        <w:rFonts w:ascii="Verdana" w:hAnsi="Verdana" w:cs="Arial"/>
        <w:bCs/>
        <w:iCs/>
        <w:color w:val="FF0000"/>
        <w:sz w:val="16"/>
        <w:szCs w:val="16"/>
        <w:lang w:val="es-AR"/>
      </w:rPr>
      <w:t>funes</w:t>
    </w:r>
    <w:r w:rsidR="001C1DC0" w:rsidRPr="002E01E4">
      <w:rPr>
        <w:rFonts w:ascii="Verdana" w:hAnsi="Verdana" w:cs="Arial"/>
        <w:bCs/>
        <w:iCs/>
        <w:color w:val="FF0000"/>
        <w:sz w:val="16"/>
        <w:szCs w:val="16"/>
        <w:lang w:val="es-AR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88B7B" w14:textId="77777777" w:rsidR="0049210C" w:rsidRDefault="0049210C">
      <w:r>
        <w:separator/>
      </w:r>
    </w:p>
  </w:footnote>
  <w:footnote w:type="continuationSeparator" w:id="0">
    <w:p w14:paraId="2652B3E2" w14:textId="77777777" w:rsidR="0049210C" w:rsidRDefault="0049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DD4F" w14:textId="77777777" w:rsidR="00DD0950" w:rsidRDefault="00DD0950" w:rsidP="00743937">
    <w:pPr>
      <w:pStyle w:val="Header"/>
      <w:tabs>
        <w:tab w:val="clear" w:pos="8838"/>
        <w:tab w:val="right" w:pos="9070"/>
      </w:tabs>
      <w:jc w:val="right"/>
    </w:pPr>
  </w:p>
  <w:p w14:paraId="473074CD" w14:textId="77777777" w:rsidR="00FF4628" w:rsidRDefault="00FF4628" w:rsidP="00743937">
    <w:pPr>
      <w:pStyle w:val="Header"/>
      <w:tabs>
        <w:tab w:val="clear" w:pos="8838"/>
        <w:tab w:val="right" w:pos="9070"/>
      </w:tabs>
      <w:jc w:val="right"/>
    </w:pPr>
  </w:p>
  <w:p w14:paraId="41DE9D08" w14:textId="416D8E89" w:rsidR="00743937" w:rsidRDefault="00DD0950" w:rsidP="009F3247">
    <w:pPr>
      <w:pStyle w:val="Header"/>
      <w:tabs>
        <w:tab w:val="clear" w:pos="8838"/>
        <w:tab w:val="left" w:pos="9072"/>
      </w:tabs>
      <w:ind w:firstLine="142"/>
    </w:pPr>
    <w:r>
      <w:rPr>
        <w:noProof/>
      </w:rPr>
      <w:drawing>
        <wp:inline distT="0" distB="0" distL="0" distR="0" wp14:anchorId="7FEE65FD" wp14:editId="08D86B08">
          <wp:extent cx="3141980" cy="542877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6"/>
                  <a:stretch/>
                </pic:blipFill>
                <pic:spPr bwMode="auto">
                  <a:xfrm>
                    <a:off x="0" y="0"/>
                    <a:ext cx="3233674" cy="558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43B0929" w14:textId="4B16B6BF" w:rsidR="00743937" w:rsidRPr="00826133" w:rsidRDefault="009F3247" w:rsidP="00743937">
    <w:pPr>
      <w:pStyle w:val="Header"/>
      <w:tabs>
        <w:tab w:val="clear" w:pos="8838"/>
        <w:tab w:val="right" w:pos="907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AA3E45" wp14:editId="7025D0AE">
              <wp:simplePos x="0" y="0"/>
              <wp:positionH relativeFrom="margin">
                <wp:posOffset>3810</wp:posOffset>
              </wp:positionH>
              <wp:positionV relativeFrom="paragraph">
                <wp:posOffset>57785</wp:posOffset>
              </wp:positionV>
              <wp:extent cx="6105525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0552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F495C3" id="Straight Connector 10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pt,4.55pt" to="481.0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" strokecolor="#5a5a5a [2109]" strokeweight=".5pt">
              <v:stroke joinstyle="miter"/>
              <w10:wrap anchorx="margin"/>
            </v:line>
          </w:pict>
        </mc:Fallback>
      </mc:AlternateContent>
    </w:r>
  </w:p>
  <w:p w14:paraId="02B6E8D3" w14:textId="6F7DA2E2" w:rsidR="00882F5C" w:rsidRDefault="00882F5C" w:rsidP="00D66F0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8F0D" w14:textId="77777777" w:rsidR="00727530" w:rsidRDefault="00727530" w:rsidP="00727530">
    <w:pPr>
      <w:pStyle w:val="Header"/>
      <w:tabs>
        <w:tab w:val="clear" w:pos="8838"/>
        <w:tab w:val="right" w:pos="9070"/>
      </w:tabs>
      <w:jc w:val="right"/>
    </w:pPr>
  </w:p>
  <w:p w14:paraId="6C96E2DA" w14:textId="77777777" w:rsidR="00727530" w:rsidRDefault="00727530" w:rsidP="00727530">
    <w:pPr>
      <w:pStyle w:val="Header"/>
      <w:tabs>
        <w:tab w:val="clear" w:pos="8838"/>
        <w:tab w:val="right" w:pos="9070"/>
      </w:tabs>
      <w:jc w:val="right"/>
    </w:pPr>
  </w:p>
  <w:p w14:paraId="7389AC38" w14:textId="77777777" w:rsidR="00727530" w:rsidRDefault="00727530" w:rsidP="00727530">
    <w:pPr>
      <w:pStyle w:val="Header"/>
      <w:tabs>
        <w:tab w:val="clear" w:pos="8838"/>
        <w:tab w:val="left" w:pos="9072"/>
      </w:tabs>
      <w:ind w:firstLine="142"/>
    </w:pPr>
    <w:r>
      <w:rPr>
        <w:noProof/>
      </w:rPr>
      <w:drawing>
        <wp:inline distT="0" distB="0" distL="0" distR="0" wp14:anchorId="4C6EBCA4" wp14:editId="4F47CC39">
          <wp:extent cx="3141980" cy="542877"/>
          <wp:effectExtent l="0" t="0" r="0" b="0"/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6"/>
                  <a:stretch/>
                </pic:blipFill>
                <pic:spPr bwMode="auto">
                  <a:xfrm>
                    <a:off x="0" y="0"/>
                    <a:ext cx="3233674" cy="558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DB84353" w14:textId="7E731595" w:rsidR="00B961D7" w:rsidRPr="00727530" w:rsidRDefault="00727530" w:rsidP="00727530">
    <w:pPr>
      <w:pStyle w:val="Header"/>
      <w:tabs>
        <w:tab w:val="clear" w:pos="8838"/>
        <w:tab w:val="right" w:pos="907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0728F16" wp14:editId="15E7F372">
              <wp:simplePos x="0" y="0"/>
              <wp:positionH relativeFrom="margin">
                <wp:posOffset>3810</wp:posOffset>
              </wp:positionH>
              <wp:positionV relativeFrom="paragraph">
                <wp:posOffset>57785</wp:posOffset>
              </wp:positionV>
              <wp:extent cx="610552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0552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D435BD" id="Straight Connector 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pt,4.55pt" to="481.0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" strokecolor="#5a5a5a [2109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E44DB"/>
    <w:multiLevelType w:val="multilevel"/>
    <w:tmpl w:val="8312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843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activeWritingStyle w:appName="MSWord" w:lang="es-AR" w:vendorID="64" w:dllVersion="6" w:nlCheck="1" w:checkStyle="1"/>
  <w:activeWritingStyle w:appName="MSWord" w:lang="en-US" w:vendorID="64" w:dllVersion="6" w:nlCheck="1" w:checkStyle="1"/>
  <w:activeWritingStyle w:appName="MSWord" w:lang="es-A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CA" w:vendorID="64" w:dllVersion="0" w:nlCheck="1" w:checkStyle="0"/>
  <w:proofState w:spelling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49"/>
    <w:rsid w:val="000005EC"/>
    <w:rsid w:val="00002ED3"/>
    <w:rsid w:val="00003508"/>
    <w:rsid w:val="00006DC0"/>
    <w:rsid w:val="0001104D"/>
    <w:rsid w:val="00016672"/>
    <w:rsid w:val="0002215B"/>
    <w:rsid w:val="00025821"/>
    <w:rsid w:val="00043B3C"/>
    <w:rsid w:val="000444F3"/>
    <w:rsid w:val="000477B8"/>
    <w:rsid w:val="00051B5F"/>
    <w:rsid w:val="00091B32"/>
    <w:rsid w:val="000A10AB"/>
    <w:rsid w:val="000A5848"/>
    <w:rsid w:val="000A6908"/>
    <w:rsid w:val="000C0DD3"/>
    <w:rsid w:val="000C382D"/>
    <w:rsid w:val="000C6BBF"/>
    <w:rsid w:val="000D0953"/>
    <w:rsid w:val="000D19A6"/>
    <w:rsid w:val="000E15BF"/>
    <w:rsid w:val="000E1922"/>
    <w:rsid w:val="000F3C4C"/>
    <w:rsid w:val="000F51A8"/>
    <w:rsid w:val="00101E14"/>
    <w:rsid w:val="00103E32"/>
    <w:rsid w:val="0010616C"/>
    <w:rsid w:val="00111B8B"/>
    <w:rsid w:val="00116994"/>
    <w:rsid w:val="00134C2C"/>
    <w:rsid w:val="0013791C"/>
    <w:rsid w:val="00147C64"/>
    <w:rsid w:val="001564F5"/>
    <w:rsid w:val="00164F50"/>
    <w:rsid w:val="00172EB4"/>
    <w:rsid w:val="00181CD3"/>
    <w:rsid w:val="00182D0A"/>
    <w:rsid w:val="00183547"/>
    <w:rsid w:val="001838F4"/>
    <w:rsid w:val="00183AFF"/>
    <w:rsid w:val="0018546A"/>
    <w:rsid w:val="001906E1"/>
    <w:rsid w:val="001958A4"/>
    <w:rsid w:val="001B0A91"/>
    <w:rsid w:val="001B4301"/>
    <w:rsid w:val="001B6577"/>
    <w:rsid w:val="001C1DC0"/>
    <w:rsid w:val="001C21A6"/>
    <w:rsid w:val="001D2808"/>
    <w:rsid w:val="001D39DF"/>
    <w:rsid w:val="001E0587"/>
    <w:rsid w:val="001E34DB"/>
    <w:rsid w:val="001E45AD"/>
    <w:rsid w:val="001F397A"/>
    <w:rsid w:val="001F5D8C"/>
    <w:rsid w:val="00212B69"/>
    <w:rsid w:val="00214DFF"/>
    <w:rsid w:val="00216793"/>
    <w:rsid w:val="002244CA"/>
    <w:rsid w:val="00226AEF"/>
    <w:rsid w:val="00230C38"/>
    <w:rsid w:val="00233367"/>
    <w:rsid w:val="00236FF1"/>
    <w:rsid w:val="00237474"/>
    <w:rsid w:val="00240A0E"/>
    <w:rsid w:val="00247BAC"/>
    <w:rsid w:val="00251765"/>
    <w:rsid w:val="00264045"/>
    <w:rsid w:val="00275919"/>
    <w:rsid w:val="00276BAA"/>
    <w:rsid w:val="002806B4"/>
    <w:rsid w:val="002814E2"/>
    <w:rsid w:val="00282AF1"/>
    <w:rsid w:val="00291771"/>
    <w:rsid w:val="00293961"/>
    <w:rsid w:val="002A3E82"/>
    <w:rsid w:val="002B11CF"/>
    <w:rsid w:val="002B3169"/>
    <w:rsid w:val="002B5243"/>
    <w:rsid w:val="002B6C76"/>
    <w:rsid w:val="002C1992"/>
    <w:rsid w:val="002C42CB"/>
    <w:rsid w:val="002C4DE7"/>
    <w:rsid w:val="002C5D65"/>
    <w:rsid w:val="002D0946"/>
    <w:rsid w:val="002D1B3B"/>
    <w:rsid w:val="002E01E4"/>
    <w:rsid w:val="002E5A7C"/>
    <w:rsid w:val="002F26FD"/>
    <w:rsid w:val="0030475D"/>
    <w:rsid w:val="00310A38"/>
    <w:rsid w:val="003126AA"/>
    <w:rsid w:val="00313652"/>
    <w:rsid w:val="00322CFC"/>
    <w:rsid w:val="00324251"/>
    <w:rsid w:val="00332F47"/>
    <w:rsid w:val="00333080"/>
    <w:rsid w:val="00333C49"/>
    <w:rsid w:val="00334A40"/>
    <w:rsid w:val="00336553"/>
    <w:rsid w:val="00337BC4"/>
    <w:rsid w:val="003477DA"/>
    <w:rsid w:val="00356321"/>
    <w:rsid w:val="003671EF"/>
    <w:rsid w:val="003716CD"/>
    <w:rsid w:val="003725BE"/>
    <w:rsid w:val="00382BA7"/>
    <w:rsid w:val="0038526F"/>
    <w:rsid w:val="00386957"/>
    <w:rsid w:val="00386C67"/>
    <w:rsid w:val="00391287"/>
    <w:rsid w:val="00392664"/>
    <w:rsid w:val="0039488F"/>
    <w:rsid w:val="00394A8F"/>
    <w:rsid w:val="003A4BEA"/>
    <w:rsid w:val="003A5141"/>
    <w:rsid w:val="003A7E75"/>
    <w:rsid w:val="003B0A6F"/>
    <w:rsid w:val="003B1968"/>
    <w:rsid w:val="003B7C7B"/>
    <w:rsid w:val="003C1A99"/>
    <w:rsid w:val="003C60AF"/>
    <w:rsid w:val="003F11A5"/>
    <w:rsid w:val="003F4412"/>
    <w:rsid w:val="00404189"/>
    <w:rsid w:val="0040626E"/>
    <w:rsid w:val="00406597"/>
    <w:rsid w:val="00410AB6"/>
    <w:rsid w:val="0041119F"/>
    <w:rsid w:val="00415CE5"/>
    <w:rsid w:val="004210BB"/>
    <w:rsid w:val="00421FD1"/>
    <w:rsid w:val="004248ED"/>
    <w:rsid w:val="0043005F"/>
    <w:rsid w:val="004401FD"/>
    <w:rsid w:val="00446382"/>
    <w:rsid w:val="00451DD3"/>
    <w:rsid w:val="00452B13"/>
    <w:rsid w:val="00460A0C"/>
    <w:rsid w:val="004775B7"/>
    <w:rsid w:val="00483BC1"/>
    <w:rsid w:val="0048472D"/>
    <w:rsid w:val="0049210C"/>
    <w:rsid w:val="004957D6"/>
    <w:rsid w:val="004A0A21"/>
    <w:rsid w:val="004A0F23"/>
    <w:rsid w:val="004A388C"/>
    <w:rsid w:val="004A5419"/>
    <w:rsid w:val="004B7E1F"/>
    <w:rsid w:val="004C074E"/>
    <w:rsid w:val="004C23D7"/>
    <w:rsid w:val="004D1DB8"/>
    <w:rsid w:val="004E062C"/>
    <w:rsid w:val="004E2045"/>
    <w:rsid w:val="004E20C1"/>
    <w:rsid w:val="004E4221"/>
    <w:rsid w:val="004F5BA2"/>
    <w:rsid w:val="0051127E"/>
    <w:rsid w:val="00512292"/>
    <w:rsid w:val="00521452"/>
    <w:rsid w:val="00525906"/>
    <w:rsid w:val="00531062"/>
    <w:rsid w:val="00550CB9"/>
    <w:rsid w:val="00550CE1"/>
    <w:rsid w:val="0056440B"/>
    <w:rsid w:val="005657DB"/>
    <w:rsid w:val="005660FE"/>
    <w:rsid w:val="00567A34"/>
    <w:rsid w:val="00570663"/>
    <w:rsid w:val="005835B4"/>
    <w:rsid w:val="005A0E64"/>
    <w:rsid w:val="005A217F"/>
    <w:rsid w:val="005A3E5C"/>
    <w:rsid w:val="005B1652"/>
    <w:rsid w:val="005B223E"/>
    <w:rsid w:val="005B242B"/>
    <w:rsid w:val="005B6857"/>
    <w:rsid w:val="005C1A3F"/>
    <w:rsid w:val="005C4245"/>
    <w:rsid w:val="005D293B"/>
    <w:rsid w:val="005D3876"/>
    <w:rsid w:val="005D6145"/>
    <w:rsid w:val="005D7676"/>
    <w:rsid w:val="005F0B79"/>
    <w:rsid w:val="005F7472"/>
    <w:rsid w:val="00604D1A"/>
    <w:rsid w:val="006075D1"/>
    <w:rsid w:val="006154BC"/>
    <w:rsid w:val="00616B5A"/>
    <w:rsid w:val="00634593"/>
    <w:rsid w:val="00634B25"/>
    <w:rsid w:val="00636BC5"/>
    <w:rsid w:val="00645F5B"/>
    <w:rsid w:val="00651C2E"/>
    <w:rsid w:val="00660340"/>
    <w:rsid w:val="00667E3D"/>
    <w:rsid w:val="00670CD9"/>
    <w:rsid w:val="006804C5"/>
    <w:rsid w:val="00681778"/>
    <w:rsid w:val="006839BF"/>
    <w:rsid w:val="00686EE1"/>
    <w:rsid w:val="00690D55"/>
    <w:rsid w:val="006950D8"/>
    <w:rsid w:val="00697B0E"/>
    <w:rsid w:val="006A4827"/>
    <w:rsid w:val="006A4D31"/>
    <w:rsid w:val="006A4E78"/>
    <w:rsid w:val="006A6C3C"/>
    <w:rsid w:val="006B36A6"/>
    <w:rsid w:val="006B6980"/>
    <w:rsid w:val="006C09D0"/>
    <w:rsid w:val="006C0E49"/>
    <w:rsid w:val="006C44E3"/>
    <w:rsid w:val="006D39A3"/>
    <w:rsid w:val="006D5706"/>
    <w:rsid w:val="006D5C8B"/>
    <w:rsid w:val="006E3372"/>
    <w:rsid w:val="006E49CB"/>
    <w:rsid w:val="006E77BF"/>
    <w:rsid w:val="006F149F"/>
    <w:rsid w:val="006F3D3B"/>
    <w:rsid w:val="006F4832"/>
    <w:rsid w:val="007016D1"/>
    <w:rsid w:val="00717270"/>
    <w:rsid w:val="00720225"/>
    <w:rsid w:val="00721507"/>
    <w:rsid w:val="0072405E"/>
    <w:rsid w:val="00726AD7"/>
    <w:rsid w:val="00727530"/>
    <w:rsid w:val="00727A27"/>
    <w:rsid w:val="007373A2"/>
    <w:rsid w:val="00737ECF"/>
    <w:rsid w:val="00741CCD"/>
    <w:rsid w:val="00743937"/>
    <w:rsid w:val="00752957"/>
    <w:rsid w:val="00752B6B"/>
    <w:rsid w:val="007559A6"/>
    <w:rsid w:val="00774CC2"/>
    <w:rsid w:val="0078107C"/>
    <w:rsid w:val="0078456D"/>
    <w:rsid w:val="007856F1"/>
    <w:rsid w:val="00785C5E"/>
    <w:rsid w:val="007879FE"/>
    <w:rsid w:val="00790ADA"/>
    <w:rsid w:val="00791555"/>
    <w:rsid w:val="00796CD7"/>
    <w:rsid w:val="007A33B5"/>
    <w:rsid w:val="007A3933"/>
    <w:rsid w:val="007C269A"/>
    <w:rsid w:val="007C41DD"/>
    <w:rsid w:val="007D4B0E"/>
    <w:rsid w:val="007D7166"/>
    <w:rsid w:val="007E1A27"/>
    <w:rsid w:val="007E5EF7"/>
    <w:rsid w:val="007E6DC6"/>
    <w:rsid w:val="007F11FC"/>
    <w:rsid w:val="007F12F5"/>
    <w:rsid w:val="007F2569"/>
    <w:rsid w:val="007F4388"/>
    <w:rsid w:val="007F48D7"/>
    <w:rsid w:val="00801F1C"/>
    <w:rsid w:val="008051B6"/>
    <w:rsid w:val="00805597"/>
    <w:rsid w:val="00806084"/>
    <w:rsid w:val="0081131C"/>
    <w:rsid w:val="0081644C"/>
    <w:rsid w:val="00817A00"/>
    <w:rsid w:val="00825341"/>
    <w:rsid w:val="00826133"/>
    <w:rsid w:val="00827D16"/>
    <w:rsid w:val="00834DB4"/>
    <w:rsid w:val="00845690"/>
    <w:rsid w:val="00853C0B"/>
    <w:rsid w:val="00871B58"/>
    <w:rsid w:val="00875BF6"/>
    <w:rsid w:val="00875C0C"/>
    <w:rsid w:val="00882F5C"/>
    <w:rsid w:val="008873BB"/>
    <w:rsid w:val="008A2475"/>
    <w:rsid w:val="008A6ABE"/>
    <w:rsid w:val="008B0E04"/>
    <w:rsid w:val="008B329C"/>
    <w:rsid w:val="008B4799"/>
    <w:rsid w:val="008B6328"/>
    <w:rsid w:val="008C6A40"/>
    <w:rsid w:val="008D465C"/>
    <w:rsid w:val="008D50CD"/>
    <w:rsid w:val="008E556C"/>
    <w:rsid w:val="008F3261"/>
    <w:rsid w:val="009106E4"/>
    <w:rsid w:val="00911B43"/>
    <w:rsid w:val="00914FE9"/>
    <w:rsid w:val="00921279"/>
    <w:rsid w:val="009235F7"/>
    <w:rsid w:val="00925E77"/>
    <w:rsid w:val="00926E58"/>
    <w:rsid w:val="009279EF"/>
    <w:rsid w:val="00930DFB"/>
    <w:rsid w:val="0093559C"/>
    <w:rsid w:val="00941213"/>
    <w:rsid w:val="00942654"/>
    <w:rsid w:val="00946757"/>
    <w:rsid w:val="00950523"/>
    <w:rsid w:val="0096225B"/>
    <w:rsid w:val="0096263D"/>
    <w:rsid w:val="00965F37"/>
    <w:rsid w:val="00966AA8"/>
    <w:rsid w:val="0097476A"/>
    <w:rsid w:val="009803A7"/>
    <w:rsid w:val="00987387"/>
    <w:rsid w:val="00992001"/>
    <w:rsid w:val="00992763"/>
    <w:rsid w:val="009A25E4"/>
    <w:rsid w:val="009A27C0"/>
    <w:rsid w:val="009A6E91"/>
    <w:rsid w:val="009B37DE"/>
    <w:rsid w:val="009B4608"/>
    <w:rsid w:val="009C1035"/>
    <w:rsid w:val="009C7305"/>
    <w:rsid w:val="009D69A1"/>
    <w:rsid w:val="009D7018"/>
    <w:rsid w:val="009E09B3"/>
    <w:rsid w:val="009F3247"/>
    <w:rsid w:val="009F3BAA"/>
    <w:rsid w:val="009F54F9"/>
    <w:rsid w:val="00A00F80"/>
    <w:rsid w:val="00A12410"/>
    <w:rsid w:val="00A13974"/>
    <w:rsid w:val="00A2586B"/>
    <w:rsid w:val="00A36A42"/>
    <w:rsid w:val="00A6018A"/>
    <w:rsid w:val="00A6056E"/>
    <w:rsid w:val="00A806FB"/>
    <w:rsid w:val="00A80E5F"/>
    <w:rsid w:val="00A86059"/>
    <w:rsid w:val="00A901C0"/>
    <w:rsid w:val="00AA0673"/>
    <w:rsid w:val="00AA0A9B"/>
    <w:rsid w:val="00AA34B8"/>
    <w:rsid w:val="00AA38EF"/>
    <w:rsid w:val="00AA7118"/>
    <w:rsid w:val="00AB198C"/>
    <w:rsid w:val="00AB7CF1"/>
    <w:rsid w:val="00AC0F7E"/>
    <w:rsid w:val="00AC120A"/>
    <w:rsid w:val="00AC291B"/>
    <w:rsid w:val="00AC46D7"/>
    <w:rsid w:val="00AD0886"/>
    <w:rsid w:val="00AD2811"/>
    <w:rsid w:val="00AE3B0E"/>
    <w:rsid w:val="00AE6E03"/>
    <w:rsid w:val="00AF0C64"/>
    <w:rsid w:val="00AF5B7D"/>
    <w:rsid w:val="00B148BC"/>
    <w:rsid w:val="00B15DCA"/>
    <w:rsid w:val="00B17BA0"/>
    <w:rsid w:val="00B20DA6"/>
    <w:rsid w:val="00B30B64"/>
    <w:rsid w:val="00B31792"/>
    <w:rsid w:val="00B3321C"/>
    <w:rsid w:val="00B349A1"/>
    <w:rsid w:val="00B40811"/>
    <w:rsid w:val="00B42512"/>
    <w:rsid w:val="00B44AA3"/>
    <w:rsid w:val="00B46F93"/>
    <w:rsid w:val="00B60C5D"/>
    <w:rsid w:val="00B659E3"/>
    <w:rsid w:val="00B73B50"/>
    <w:rsid w:val="00B805F7"/>
    <w:rsid w:val="00B8103B"/>
    <w:rsid w:val="00B961D7"/>
    <w:rsid w:val="00B96B79"/>
    <w:rsid w:val="00BA2D5B"/>
    <w:rsid w:val="00BA4890"/>
    <w:rsid w:val="00BA5483"/>
    <w:rsid w:val="00BA5B5D"/>
    <w:rsid w:val="00BB0ED4"/>
    <w:rsid w:val="00BB3192"/>
    <w:rsid w:val="00BB772B"/>
    <w:rsid w:val="00BC41A0"/>
    <w:rsid w:val="00BC4CE1"/>
    <w:rsid w:val="00BC5982"/>
    <w:rsid w:val="00BD054B"/>
    <w:rsid w:val="00BD6EE1"/>
    <w:rsid w:val="00BE05E8"/>
    <w:rsid w:val="00BE26D0"/>
    <w:rsid w:val="00C1012D"/>
    <w:rsid w:val="00C247F1"/>
    <w:rsid w:val="00C26FCA"/>
    <w:rsid w:val="00C327E4"/>
    <w:rsid w:val="00C32C53"/>
    <w:rsid w:val="00C41F4A"/>
    <w:rsid w:val="00C460A0"/>
    <w:rsid w:val="00C53323"/>
    <w:rsid w:val="00C579B1"/>
    <w:rsid w:val="00C61ADC"/>
    <w:rsid w:val="00C64E3F"/>
    <w:rsid w:val="00C65709"/>
    <w:rsid w:val="00C660B6"/>
    <w:rsid w:val="00C67D32"/>
    <w:rsid w:val="00C8655D"/>
    <w:rsid w:val="00C879AD"/>
    <w:rsid w:val="00CB4F51"/>
    <w:rsid w:val="00CB754C"/>
    <w:rsid w:val="00CD3C69"/>
    <w:rsid w:val="00CE1F32"/>
    <w:rsid w:val="00CF7229"/>
    <w:rsid w:val="00D0050D"/>
    <w:rsid w:val="00D01098"/>
    <w:rsid w:val="00D02AFE"/>
    <w:rsid w:val="00D035D9"/>
    <w:rsid w:val="00D05815"/>
    <w:rsid w:val="00D06E85"/>
    <w:rsid w:val="00D0797E"/>
    <w:rsid w:val="00D12D9D"/>
    <w:rsid w:val="00D20212"/>
    <w:rsid w:val="00D23025"/>
    <w:rsid w:val="00D27B1F"/>
    <w:rsid w:val="00D27F39"/>
    <w:rsid w:val="00D31812"/>
    <w:rsid w:val="00D4675C"/>
    <w:rsid w:val="00D52BBF"/>
    <w:rsid w:val="00D533FA"/>
    <w:rsid w:val="00D57D4D"/>
    <w:rsid w:val="00D60AE4"/>
    <w:rsid w:val="00D61343"/>
    <w:rsid w:val="00D66F06"/>
    <w:rsid w:val="00D706EB"/>
    <w:rsid w:val="00D71A44"/>
    <w:rsid w:val="00D815E1"/>
    <w:rsid w:val="00D83B31"/>
    <w:rsid w:val="00D9238B"/>
    <w:rsid w:val="00D97BFA"/>
    <w:rsid w:val="00DA0340"/>
    <w:rsid w:val="00DA10F3"/>
    <w:rsid w:val="00DA13E7"/>
    <w:rsid w:val="00DB388D"/>
    <w:rsid w:val="00DB74A6"/>
    <w:rsid w:val="00DD0950"/>
    <w:rsid w:val="00DE587C"/>
    <w:rsid w:val="00DF162C"/>
    <w:rsid w:val="00DF2B23"/>
    <w:rsid w:val="00DF2B59"/>
    <w:rsid w:val="00DF3890"/>
    <w:rsid w:val="00E0482A"/>
    <w:rsid w:val="00E06E6F"/>
    <w:rsid w:val="00E16817"/>
    <w:rsid w:val="00E169B1"/>
    <w:rsid w:val="00E17340"/>
    <w:rsid w:val="00E219AB"/>
    <w:rsid w:val="00E437C4"/>
    <w:rsid w:val="00E50498"/>
    <w:rsid w:val="00E51860"/>
    <w:rsid w:val="00E52CC3"/>
    <w:rsid w:val="00E5560C"/>
    <w:rsid w:val="00E60089"/>
    <w:rsid w:val="00E618D5"/>
    <w:rsid w:val="00E6219B"/>
    <w:rsid w:val="00E73D77"/>
    <w:rsid w:val="00E8152C"/>
    <w:rsid w:val="00E84A4E"/>
    <w:rsid w:val="00E855A6"/>
    <w:rsid w:val="00E908DC"/>
    <w:rsid w:val="00E9238B"/>
    <w:rsid w:val="00E924DD"/>
    <w:rsid w:val="00E92659"/>
    <w:rsid w:val="00E93B82"/>
    <w:rsid w:val="00E93CE8"/>
    <w:rsid w:val="00E9537E"/>
    <w:rsid w:val="00E97F69"/>
    <w:rsid w:val="00EB33C7"/>
    <w:rsid w:val="00ED6BE9"/>
    <w:rsid w:val="00EE3888"/>
    <w:rsid w:val="00EF4DC5"/>
    <w:rsid w:val="00EF6027"/>
    <w:rsid w:val="00EF7961"/>
    <w:rsid w:val="00F03A7B"/>
    <w:rsid w:val="00F14280"/>
    <w:rsid w:val="00F1489D"/>
    <w:rsid w:val="00F16C29"/>
    <w:rsid w:val="00F2790C"/>
    <w:rsid w:val="00F42BAF"/>
    <w:rsid w:val="00F4349A"/>
    <w:rsid w:val="00F50BBF"/>
    <w:rsid w:val="00F62791"/>
    <w:rsid w:val="00F66832"/>
    <w:rsid w:val="00F67D55"/>
    <w:rsid w:val="00F706F2"/>
    <w:rsid w:val="00F7170A"/>
    <w:rsid w:val="00F74FE1"/>
    <w:rsid w:val="00F877A2"/>
    <w:rsid w:val="00F87C59"/>
    <w:rsid w:val="00F94250"/>
    <w:rsid w:val="00F94EF0"/>
    <w:rsid w:val="00F94F37"/>
    <w:rsid w:val="00FA0BB9"/>
    <w:rsid w:val="00FA323D"/>
    <w:rsid w:val="00FA453D"/>
    <w:rsid w:val="00FB105A"/>
    <w:rsid w:val="00FD0146"/>
    <w:rsid w:val="00FD056B"/>
    <w:rsid w:val="00FD36A0"/>
    <w:rsid w:val="00FE03D7"/>
    <w:rsid w:val="00FE10BE"/>
    <w:rsid w:val="00FE1E6C"/>
    <w:rsid w:val="00FE28B6"/>
    <w:rsid w:val="00FF0A95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E807B"/>
  <w15:chartTrackingRefBased/>
  <w15:docId w15:val="{3441F087-432F-4F04-BBAC-DAEC8250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C67"/>
  </w:style>
  <w:style w:type="paragraph" w:styleId="Heading1">
    <w:name w:val="heading 1"/>
    <w:basedOn w:val="Normal"/>
    <w:next w:val="Normal"/>
    <w:link w:val="Heading1Char"/>
    <w:qFormat/>
    <w:rsid w:val="00386C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20DA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6C67"/>
    <w:pPr>
      <w:tabs>
        <w:tab w:val="center" w:pos="4419"/>
        <w:tab w:val="right" w:pos="8838"/>
      </w:tabs>
    </w:pPr>
    <w:rPr>
      <w:color w:val="002060"/>
    </w:rPr>
  </w:style>
  <w:style w:type="paragraph" w:styleId="Footer">
    <w:name w:val="footer"/>
    <w:basedOn w:val="Normal"/>
    <w:link w:val="Footer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rsid w:val="00386C67"/>
    <w:rPr>
      <w:rFonts w:asciiTheme="minorHAnsi" w:hAnsiTheme="minorHAnsi"/>
    </w:rPr>
  </w:style>
  <w:style w:type="paragraph" w:styleId="NormalWeb">
    <w:name w:val="Normal (Web)"/>
    <w:basedOn w:val="Normal"/>
    <w:uiPriority w:val="99"/>
    <w:qFormat/>
    <w:rsid w:val="00386C67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386C67"/>
    <w:rPr>
      <w:b/>
      <w:bCs/>
    </w:rPr>
  </w:style>
  <w:style w:type="paragraph" w:customStyle="1" w:styleId="Textogeneral">
    <w:name w:val="Texto general"/>
    <w:basedOn w:val="Normal"/>
    <w:qFormat/>
    <w:rsid w:val="00386C67"/>
    <w:rPr>
      <w:color w:val="3B3838" w:themeColor="background2" w:themeShade="40"/>
      <w:szCs w:val="24"/>
    </w:rPr>
  </w:style>
  <w:style w:type="character" w:customStyle="1" w:styleId="Heading1Char">
    <w:name w:val="Heading 1 Char"/>
    <w:basedOn w:val="DefaultParagraphFont"/>
    <w:link w:val="Heading1"/>
    <w:rsid w:val="00386C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AR"/>
    </w:rPr>
  </w:style>
  <w:style w:type="character" w:customStyle="1" w:styleId="Heading9Char">
    <w:name w:val="Heading 9 Char"/>
    <w:basedOn w:val="DefaultParagraphFont"/>
    <w:link w:val="Heading9"/>
    <w:semiHidden/>
    <w:rsid w:val="00B20D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AR"/>
    </w:rPr>
  </w:style>
  <w:style w:type="character" w:customStyle="1" w:styleId="FooterChar">
    <w:name w:val="Footer Char"/>
    <w:basedOn w:val="DefaultParagraphFont"/>
    <w:link w:val="Footer"/>
    <w:uiPriority w:val="99"/>
    <w:rsid w:val="00E908DC"/>
    <w:rPr>
      <w:rFonts w:asciiTheme="minorHAnsi" w:hAnsiTheme="minorHAnsi"/>
      <w:sz w:val="24"/>
      <w:lang w:val="es-AR"/>
    </w:rPr>
  </w:style>
  <w:style w:type="character" w:styleId="UnresolvedMention">
    <w:name w:val="Unresolved Mention"/>
    <w:basedOn w:val="DefaultParagraphFont"/>
    <w:uiPriority w:val="99"/>
    <w:semiHidden/>
    <w:unhideWhenUsed/>
    <w:rsid w:val="00C67D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6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1d9b66-f9b7-4c01-8e35-3e8f257845eb">
      <Terms xmlns="http://schemas.microsoft.com/office/infopath/2007/PartnerControls"/>
    </lcf76f155ced4ddcb4097134ff3c332f>
    <TaxCatchAll xmlns="03e99461-474d-4061-ba98-3123e3a676d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911C146915BD4D8DE65C35D1C28FA0" ma:contentTypeVersion="15" ma:contentTypeDescription="Crear nuevo documento." ma:contentTypeScope="" ma:versionID="0f9e5750c1c3a306e1b08f673c5fe075">
  <xsd:schema xmlns:xsd="http://www.w3.org/2001/XMLSchema" xmlns:xs="http://www.w3.org/2001/XMLSchema" xmlns:p="http://schemas.microsoft.com/office/2006/metadata/properties" xmlns:ns2="9b1d9b66-f9b7-4c01-8e35-3e8f257845eb" xmlns:ns3="03e99461-474d-4061-ba98-3123e3a676d4" targetNamespace="http://schemas.microsoft.com/office/2006/metadata/properties" ma:root="true" ma:fieldsID="27a809c0e2ff32f1c1e767778fc973d8" ns2:_="" ns3:_="">
    <xsd:import namespace="9b1d9b66-f9b7-4c01-8e35-3e8f257845eb"/>
    <xsd:import namespace="03e99461-474d-4061-ba98-3123e3a67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d9b66-f9b7-4c01-8e35-3e8f25784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823d97c-3499-456f-9a02-4fa8b81d0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99461-474d-4061-ba98-3123e3a676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d59ebc-2b29-44dd-89eb-5711311e2cab}" ma:internalName="TaxCatchAll" ma:showField="CatchAllData" ma:web="03e99461-474d-4061-ba98-3123e3a67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B580A-1979-4668-AE9A-D3989ABFF730}">
  <ds:schemaRefs>
    <ds:schemaRef ds:uri="http://schemas.microsoft.com/office/2006/metadata/properties"/>
    <ds:schemaRef ds:uri="http://schemas.microsoft.com/office/infopath/2007/PartnerControls"/>
    <ds:schemaRef ds:uri="9b1d9b66-f9b7-4c01-8e35-3e8f257845eb"/>
    <ds:schemaRef ds:uri="03e99461-474d-4061-ba98-3123e3a676d4"/>
  </ds:schemaRefs>
</ds:datastoreItem>
</file>

<file path=customXml/itemProps2.xml><?xml version="1.0" encoding="utf-8"?>
<ds:datastoreItem xmlns:ds="http://schemas.openxmlformats.org/officeDocument/2006/customXml" ds:itemID="{FDDC1F0F-09ED-4AFB-937D-F4E7EBA32D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B02959-FF0D-4252-8A1E-6578DBC393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0ED412-C735-4B8A-9C8D-6DAFD4AE92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573</Words>
  <Characters>3263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Margen Margen Margen Margen Margen Margen Margen Margen Margen Margen Margen Marge</vt:lpstr>
      <vt:lpstr>Margen Margen Margen Margen Margen Margen Margen Margen Margen Margen Margen Marge</vt:lpstr>
    </vt:vector>
  </TitlesOfParts>
  <Company>BFMYL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Margen Margen Margen Margen Margen Margen Margen Margen Margen Margen Margen Marge</dc:title>
  <dc:subject/>
  <dc:creator>Cabral, Juan Agustin</dc:creator>
  <cp:keywords/>
  <cp:lastModifiedBy>Guerrero, Lucila</cp:lastModifiedBy>
  <cp:revision>38</cp:revision>
  <cp:lastPrinted>2022-09-20T17:04:00Z</cp:lastPrinted>
  <dcterms:created xsi:type="dcterms:W3CDTF">2025-04-18T15:41:00Z</dcterms:created>
  <dcterms:modified xsi:type="dcterms:W3CDTF">2025-05-07T18:32:00Z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0x010100DE911C146915BD4D8DE65C35D1C28FA0</vt:lpwstr>
  </property>
</Properties>
</file>