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3A357" w14:textId="78B3A245" w:rsidR="0039488B" w:rsidRPr="0011760E" w:rsidRDefault="0011760E">
      <w:pPr>
        <w:rPr>
          <w:rFonts w:ascii="Arial" w:hAnsi="Arial" w:cs="Arial"/>
          <w:b/>
          <w:bCs/>
          <w:sz w:val="32"/>
          <w:szCs w:val="32"/>
          <w:lang w:val="en-GB"/>
        </w:rPr>
      </w:pPr>
      <w:r w:rsidRPr="0011760E">
        <w:rPr>
          <w:rFonts w:ascii="Arial" w:hAnsi="Arial" w:cs="Arial"/>
          <w:b/>
          <w:bCs/>
          <w:sz w:val="32"/>
          <w:szCs w:val="32"/>
          <w:lang w:val="en-GB"/>
        </w:rPr>
        <w:t xml:space="preserve">Poland </w:t>
      </w:r>
      <w:bookmarkStart w:id="0" w:name="_GoBack"/>
      <w:bookmarkEnd w:id="0"/>
    </w:p>
    <w:p w14:paraId="1E653624" w14:textId="2AE47721" w:rsidR="0011760E" w:rsidRPr="0011760E" w:rsidRDefault="0011760E">
      <w:pPr>
        <w:rPr>
          <w:rFonts w:ascii="Arial" w:hAnsi="Arial" w:cs="Arial"/>
          <w:lang w:val="en-GB"/>
        </w:rPr>
      </w:pPr>
    </w:p>
    <w:p w14:paraId="35163ACE" w14:textId="77777777" w:rsidR="0011760E" w:rsidRPr="0011760E" w:rsidRDefault="0011760E" w:rsidP="0011760E">
      <w:pPr>
        <w:pStyle w:val="Heading1"/>
        <w:numPr>
          <w:ilvl w:val="0"/>
          <w:numId w:val="4"/>
        </w:numPr>
        <w:spacing w:line="276" w:lineRule="auto"/>
        <w:jc w:val="both"/>
        <w:rPr>
          <w:rFonts w:ascii="Arial" w:eastAsia="Times New Roman" w:hAnsi="Arial" w:cs="Arial"/>
          <w:bCs/>
          <w:iCs/>
          <w:color w:val="auto"/>
          <w:sz w:val="22"/>
          <w:szCs w:val="22"/>
        </w:rPr>
      </w:pPr>
      <w:r w:rsidRPr="0011760E">
        <w:rPr>
          <w:rFonts w:ascii="Arial" w:eastAsia="Times New Roman" w:hAnsi="Arial" w:cs="Arial"/>
          <w:bCs/>
          <w:iCs/>
          <w:color w:val="auto"/>
          <w:sz w:val="22"/>
          <w:szCs w:val="22"/>
        </w:rPr>
        <w:t>General information</w:t>
      </w:r>
    </w:p>
    <w:p w14:paraId="30DAB206" w14:textId="77777777" w:rsidR="0011760E" w:rsidRPr="0011760E" w:rsidRDefault="0011760E" w:rsidP="0011760E">
      <w:pPr>
        <w:pStyle w:val="ListParagraph"/>
        <w:spacing w:line="276" w:lineRule="auto"/>
        <w:jc w:val="both"/>
        <w:rPr>
          <w:rFonts w:ascii="Arial" w:eastAsia="Times New Roman" w:hAnsi="Arial" w:cs="Arial"/>
          <w:bCs/>
          <w:iCs/>
        </w:rPr>
      </w:pPr>
    </w:p>
    <w:p w14:paraId="50EC6B11" w14:textId="77777777" w:rsidR="0011760E" w:rsidRPr="0011760E" w:rsidRDefault="0011760E" w:rsidP="0011760E">
      <w:pPr>
        <w:pStyle w:val="ListParagraph"/>
        <w:spacing w:line="276" w:lineRule="auto"/>
        <w:jc w:val="both"/>
        <w:rPr>
          <w:rFonts w:ascii="Arial" w:eastAsia="Times New Roman" w:hAnsi="Arial" w:cs="Arial"/>
          <w:bCs/>
          <w:iCs/>
          <w:lang w:val="en-US"/>
        </w:rPr>
      </w:pPr>
      <w:r w:rsidRPr="0011760E">
        <w:rPr>
          <w:rFonts w:ascii="Arial" w:eastAsia="Times New Roman" w:hAnsi="Arial" w:cs="Arial"/>
          <w:bCs/>
          <w:iCs/>
          <w:lang w:val="en-US"/>
        </w:rPr>
        <w:t xml:space="preserve">The first draft of the act amending the Act on Tax on Goods and Services (the Polish VAT Act) was published by the Government Legislation Center on 24 June 2019. The latest draft of the Amending Act, dated 7 October 2019, has been already subject to public consultations and currently is being processed by Polish Council of Ministers’ bodies. </w:t>
      </w:r>
    </w:p>
    <w:p w14:paraId="18D451AE" w14:textId="77777777" w:rsidR="0011760E" w:rsidRPr="0011760E" w:rsidRDefault="0011760E" w:rsidP="0011760E">
      <w:pPr>
        <w:pStyle w:val="ListParagraph"/>
        <w:spacing w:line="276" w:lineRule="auto"/>
        <w:jc w:val="both"/>
        <w:rPr>
          <w:rFonts w:ascii="Arial" w:eastAsia="Times New Roman" w:hAnsi="Arial" w:cs="Arial"/>
          <w:bCs/>
          <w:iCs/>
          <w:lang w:val="en-US"/>
        </w:rPr>
      </w:pPr>
    </w:p>
    <w:p w14:paraId="244E4645" w14:textId="77777777" w:rsidR="0011760E" w:rsidRPr="0011760E" w:rsidRDefault="0011760E" w:rsidP="0011760E">
      <w:pPr>
        <w:pStyle w:val="ListParagraph"/>
        <w:spacing w:line="276" w:lineRule="auto"/>
        <w:rPr>
          <w:rFonts w:ascii="Arial" w:hAnsi="Arial" w:cs="Arial"/>
          <w:bCs/>
          <w:iCs/>
          <w:lang w:val="en-US"/>
        </w:rPr>
      </w:pPr>
      <w:r w:rsidRPr="0011760E">
        <w:rPr>
          <w:rFonts w:ascii="Arial" w:hAnsi="Arial" w:cs="Arial"/>
          <w:bCs/>
          <w:iCs/>
          <w:lang w:val="en-US"/>
        </w:rPr>
        <w:t xml:space="preserve">The draft (including all of the amendments described below) is available in Polish version at Government Legislation Center’s website: </w:t>
      </w:r>
      <w:hyperlink r:id="rId7" w:history="1">
        <w:r w:rsidRPr="0011760E">
          <w:rPr>
            <w:rStyle w:val="Hyperlink"/>
            <w:rFonts w:ascii="Arial" w:hAnsi="Arial" w:cs="Arial"/>
            <w:bCs/>
            <w:iCs/>
            <w:u w:val="none"/>
            <w:lang w:val="en-US"/>
          </w:rPr>
          <w:t>https://legislacja.rcl.gov.pl/docs//2/12322050/12601974/12601975/dokument422109.pdf</w:t>
        </w:r>
      </w:hyperlink>
      <w:r w:rsidRPr="0011760E">
        <w:rPr>
          <w:rFonts w:ascii="Arial" w:hAnsi="Arial" w:cs="Arial"/>
          <w:bCs/>
          <w:iCs/>
          <w:lang w:val="en-US"/>
        </w:rPr>
        <w:t>)</w:t>
      </w:r>
    </w:p>
    <w:p w14:paraId="69EA9889" w14:textId="77777777" w:rsidR="0011760E" w:rsidRPr="0011760E" w:rsidRDefault="0011760E" w:rsidP="0011760E">
      <w:pPr>
        <w:spacing w:line="276" w:lineRule="auto"/>
        <w:ind w:left="708"/>
        <w:jc w:val="both"/>
        <w:rPr>
          <w:rFonts w:ascii="Arial" w:hAnsi="Arial" w:cs="Arial"/>
          <w:bCs/>
          <w:iCs/>
        </w:rPr>
      </w:pPr>
    </w:p>
    <w:p w14:paraId="67EAA6F2"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While governmental work is underway and, once adopted, the amending act must be consequently approved by Parliament, the assumption is that the regulations will apply from January 1, 2020.</w:t>
      </w:r>
    </w:p>
    <w:p w14:paraId="30137053" w14:textId="77777777" w:rsidR="0011760E" w:rsidRPr="0011760E" w:rsidRDefault="0011760E" w:rsidP="0011760E">
      <w:pPr>
        <w:spacing w:line="276" w:lineRule="auto"/>
        <w:ind w:left="708"/>
        <w:jc w:val="both"/>
        <w:rPr>
          <w:rFonts w:ascii="Arial" w:hAnsi="Arial" w:cs="Arial"/>
          <w:bCs/>
          <w:iCs/>
        </w:rPr>
      </w:pPr>
    </w:p>
    <w:p w14:paraId="74C8F4E5" w14:textId="77777777" w:rsidR="0011760E" w:rsidRPr="0011760E" w:rsidRDefault="0011760E" w:rsidP="0011760E">
      <w:pPr>
        <w:pStyle w:val="Heading1"/>
        <w:numPr>
          <w:ilvl w:val="0"/>
          <w:numId w:val="4"/>
        </w:numPr>
        <w:spacing w:line="276" w:lineRule="auto"/>
        <w:jc w:val="both"/>
        <w:rPr>
          <w:rFonts w:ascii="Arial" w:eastAsia="Times New Roman" w:hAnsi="Arial" w:cs="Arial"/>
          <w:bCs/>
          <w:iCs/>
          <w:color w:val="auto"/>
          <w:sz w:val="22"/>
          <w:szCs w:val="22"/>
        </w:rPr>
      </w:pPr>
      <w:r w:rsidRPr="0011760E">
        <w:rPr>
          <w:rFonts w:ascii="Arial" w:eastAsia="Times New Roman" w:hAnsi="Arial" w:cs="Arial"/>
          <w:bCs/>
          <w:iCs/>
          <w:color w:val="auto"/>
          <w:sz w:val="22"/>
          <w:szCs w:val="22"/>
        </w:rPr>
        <w:t xml:space="preserve">Chain transactions </w:t>
      </w:r>
    </w:p>
    <w:p w14:paraId="5C67DFBD" w14:textId="77777777" w:rsidR="0011760E" w:rsidRPr="0011760E" w:rsidRDefault="0011760E" w:rsidP="0011760E">
      <w:pPr>
        <w:spacing w:line="276" w:lineRule="auto"/>
        <w:jc w:val="both"/>
        <w:rPr>
          <w:rFonts w:ascii="Arial" w:hAnsi="Arial" w:cs="Arial"/>
          <w:bCs/>
          <w:iCs/>
        </w:rPr>
      </w:pPr>
    </w:p>
    <w:p w14:paraId="17FF3AE4" w14:textId="77777777" w:rsidR="0011760E" w:rsidRPr="0011760E" w:rsidRDefault="0011760E" w:rsidP="0011760E">
      <w:pPr>
        <w:pStyle w:val="Heading2"/>
        <w:spacing w:line="276" w:lineRule="auto"/>
        <w:ind w:left="708"/>
        <w:jc w:val="both"/>
        <w:rPr>
          <w:rFonts w:ascii="Arial" w:eastAsia="Times New Roman" w:hAnsi="Arial" w:cs="Arial"/>
          <w:bCs/>
          <w:iCs/>
          <w:color w:val="auto"/>
          <w:sz w:val="22"/>
          <w:szCs w:val="22"/>
        </w:rPr>
      </w:pPr>
      <w:r w:rsidRPr="0011760E">
        <w:rPr>
          <w:rFonts w:ascii="Arial" w:eastAsia="Times New Roman" w:hAnsi="Arial" w:cs="Arial"/>
          <w:bCs/>
          <w:iCs/>
          <w:color w:val="auto"/>
          <w:sz w:val="22"/>
          <w:szCs w:val="22"/>
        </w:rPr>
        <w:t xml:space="preserve">Current Law </w:t>
      </w:r>
    </w:p>
    <w:p w14:paraId="3582FF84" w14:textId="77777777" w:rsidR="0011760E" w:rsidRPr="0011760E" w:rsidRDefault="0011760E" w:rsidP="0011760E">
      <w:pPr>
        <w:rPr>
          <w:rFonts w:ascii="Arial" w:hAnsi="Arial" w:cs="Arial"/>
          <w:bCs/>
          <w:iCs/>
        </w:rPr>
      </w:pPr>
    </w:p>
    <w:p w14:paraId="7D9137C0" w14:textId="77777777" w:rsidR="0011760E" w:rsidRPr="0011760E" w:rsidRDefault="0011760E" w:rsidP="0011760E">
      <w:pPr>
        <w:pStyle w:val="ListParagraph"/>
        <w:numPr>
          <w:ilvl w:val="0"/>
          <w:numId w:val="5"/>
        </w:numPr>
        <w:spacing w:line="276" w:lineRule="auto"/>
        <w:jc w:val="both"/>
        <w:rPr>
          <w:rFonts w:ascii="Arial" w:hAnsi="Arial" w:cs="Arial"/>
          <w:bCs/>
          <w:iCs/>
          <w:lang w:val="en-GB"/>
        </w:rPr>
      </w:pPr>
      <w:r w:rsidRPr="0011760E">
        <w:rPr>
          <w:rFonts w:ascii="Arial" w:hAnsi="Arial" w:cs="Arial"/>
          <w:bCs/>
          <w:iCs/>
          <w:lang w:val="en-US"/>
        </w:rPr>
        <w:t xml:space="preserve">The key provision for chain transactions are Articles 22(2) and 22(3) of the Polish VAT Act. Above articles indicate, that considering the goods are physically transported between the first and last entity in the transaction link, they are subject of subsequent supply of goods (at least three entities participate in the chain transaction). Shipment or transport of goods should be attributed to one supply of goods only (this supply shall be recognized as ‘movable’, while the others are immovable), which determines the place of delivery for this product. </w:t>
      </w:r>
    </w:p>
    <w:p w14:paraId="4714C7EC" w14:textId="77777777" w:rsidR="0011760E" w:rsidRPr="0011760E" w:rsidRDefault="0011760E" w:rsidP="0011760E">
      <w:pPr>
        <w:spacing w:line="276" w:lineRule="auto"/>
        <w:jc w:val="both"/>
        <w:rPr>
          <w:rFonts w:ascii="Arial" w:hAnsi="Arial" w:cs="Arial"/>
          <w:bCs/>
          <w:iCs/>
          <w:lang w:val="en-GB"/>
        </w:rPr>
      </w:pPr>
    </w:p>
    <w:p w14:paraId="0346764A"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GB"/>
        </w:rPr>
        <w:t>In general if the goods are sent or transported by the buyer who makes his delivery (middleman), the supply performed for that buyer is considered as ‘movable’, unless the delivery terms or other relevant circumstances indicate that the shipment or transport should be attributed to the delivery made by that buyer. Due to presented wording of VAT provisions in Poland, in order to assess the ‘movable’ supply in the transaction chain it is always necessary to analyze the content of contracts concerning the deliveries/organization of transport/scope of responsibilities of each entity in the chain.</w:t>
      </w:r>
      <w:r w:rsidRPr="0011760E">
        <w:rPr>
          <w:rFonts w:ascii="Arial" w:hAnsi="Arial" w:cs="Arial"/>
          <w:bCs/>
          <w:iCs/>
          <w:lang w:val="en-US"/>
        </w:rPr>
        <w:t xml:space="preserve"> </w:t>
      </w:r>
    </w:p>
    <w:p w14:paraId="4134A849" w14:textId="77777777" w:rsidR="0011760E" w:rsidRPr="0011760E" w:rsidRDefault="0011760E" w:rsidP="0011760E">
      <w:pPr>
        <w:pStyle w:val="ListParagraph"/>
        <w:spacing w:line="276" w:lineRule="auto"/>
        <w:jc w:val="both"/>
        <w:rPr>
          <w:rFonts w:ascii="Arial" w:hAnsi="Arial" w:cs="Arial"/>
          <w:bCs/>
          <w:iCs/>
          <w:lang w:val="en-US"/>
        </w:rPr>
      </w:pPr>
    </w:p>
    <w:p w14:paraId="1C28C33A"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GB"/>
        </w:rPr>
        <w:t xml:space="preserve">As per Article 22(3) of the VAT Act, </w:t>
      </w:r>
      <w:r w:rsidRPr="0011760E">
        <w:rPr>
          <w:rFonts w:ascii="Arial" w:hAnsi="Arial" w:cs="Arial"/>
          <w:bCs/>
          <w:iCs/>
          <w:lang w:val="en-US"/>
        </w:rPr>
        <w:t xml:space="preserve">all transactions carried out before ‘movable’ supply (to which, based on the circumstances of the case, shipment or transport of goods has been assigned) will be taxed in the country from which the goods are shipped or transported. </w:t>
      </w:r>
      <w:proofErr w:type="gramStart"/>
      <w:r w:rsidRPr="0011760E">
        <w:rPr>
          <w:rFonts w:ascii="Arial" w:hAnsi="Arial" w:cs="Arial"/>
          <w:bCs/>
          <w:iCs/>
          <w:lang w:val="en-US"/>
        </w:rPr>
        <w:t>Accordingly</w:t>
      </w:r>
      <w:proofErr w:type="gramEnd"/>
      <w:r w:rsidRPr="0011760E">
        <w:rPr>
          <w:rFonts w:ascii="Arial" w:hAnsi="Arial" w:cs="Arial"/>
          <w:bCs/>
          <w:iCs/>
          <w:lang w:val="en-US"/>
        </w:rPr>
        <w:t xml:space="preserve"> all supplies occurring after ‘movable’ supply will be taxed in the country of destination of the goods. </w:t>
      </w:r>
    </w:p>
    <w:p w14:paraId="62D65638" w14:textId="77777777" w:rsidR="0011760E" w:rsidRPr="0011760E" w:rsidRDefault="0011760E" w:rsidP="0011760E">
      <w:pPr>
        <w:pStyle w:val="ListParagraph"/>
        <w:spacing w:line="276" w:lineRule="auto"/>
        <w:jc w:val="both"/>
        <w:rPr>
          <w:rFonts w:ascii="Arial" w:hAnsi="Arial" w:cs="Arial"/>
          <w:bCs/>
          <w:iCs/>
          <w:lang w:val="en-GB"/>
        </w:rPr>
      </w:pPr>
    </w:p>
    <w:p w14:paraId="53B68D7E" w14:textId="77777777" w:rsidR="0011760E" w:rsidRPr="0011760E" w:rsidRDefault="0011760E" w:rsidP="0011760E">
      <w:pPr>
        <w:rPr>
          <w:rFonts w:ascii="Arial" w:hAnsi="Arial" w:cs="Arial"/>
          <w:bCs/>
          <w:iCs/>
        </w:rPr>
      </w:pPr>
      <w:r w:rsidRPr="0011760E">
        <w:rPr>
          <w:rFonts w:ascii="Arial" w:eastAsiaTheme="majorEastAsia" w:hAnsi="Arial" w:cs="Arial"/>
          <w:bCs/>
          <w:iCs/>
          <w:color w:val="365F91" w:themeColor="accent1" w:themeShade="BF"/>
          <w:sz w:val="26"/>
          <w:szCs w:val="26"/>
        </w:rPr>
        <w:tab/>
        <w:t>Text of the current</w:t>
      </w:r>
      <w:r w:rsidRPr="0011760E">
        <w:rPr>
          <w:rFonts w:ascii="Arial" w:hAnsi="Arial" w:cs="Arial"/>
          <w:bCs/>
          <w:iCs/>
        </w:rPr>
        <w:t xml:space="preserve"> VAT</w:t>
      </w:r>
      <w:r w:rsidRPr="0011760E">
        <w:rPr>
          <w:rFonts w:ascii="Arial" w:eastAsiaTheme="majorEastAsia" w:hAnsi="Arial" w:cs="Arial"/>
          <w:bCs/>
          <w:iCs/>
          <w:color w:val="365F91" w:themeColor="accent1" w:themeShade="BF"/>
          <w:sz w:val="26"/>
          <w:szCs w:val="26"/>
        </w:rPr>
        <w:t xml:space="preserve"> Law (</w:t>
      </w:r>
      <w:r w:rsidRPr="0011760E">
        <w:rPr>
          <w:rFonts w:ascii="Arial" w:hAnsi="Arial" w:cs="Arial"/>
          <w:bCs/>
          <w:iCs/>
        </w:rPr>
        <w:t xml:space="preserve">available in </w:t>
      </w:r>
      <w:r w:rsidRPr="0011760E">
        <w:rPr>
          <w:rFonts w:ascii="Arial" w:eastAsiaTheme="majorEastAsia" w:hAnsi="Arial" w:cs="Arial"/>
          <w:bCs/>
          <w:iCs/>
          <w:color w:val="365F91" w:themeColor="accent1" w:themeShade="BF"/>
          <w:sz w:val="26"/>
          <w:szCs w:val="26"/>
        </w:rPr>
        <w:t xml:space="preserve">Polish </w:t>
      </w:r>
      <w:r w:rsidRPr="0011760E">
        <w:rPr>
          <w:rFonts w:ascii="Arial" w:eastAsia="Times New Roman" w:hAnsi="Arial" w:cs="Arial"/>
          <w:bCs/>
          <w:iCs/>
          <w:color w:val="365F91" w:themeColor="accent1" w:themeShade="BF"/>
          <w:sz w:val="26"/>
          <w:szCs w:val="26"/>
          <w:lang w:val="en-GB"/>
        </w:rPr>
        <w:t>version</w:t>
      </w:r>
      <w:r w:rsidRPr="0011760E">
        <w:rPr>
          <w:rFonts w:ascii="Arial" w:eastAsiaTheme="majorEastAsia" w:hAnsi="Arial" w:cs="Arial"/>
          <w:bCs/>
          <w:iCs/>
          <w:color w:val="365F91" w:themeColor="accent1" w:themeShade="BF"/>
          <w:sz w:val="26"/>
          <w:szCs w:val="26"/>
        </w:rPr>
        <w:t xml:space="preserve"> only)</w:t>
      </w:r>
    </w:p>
    <w:p w14:paraId="1D5EEAE0" w14:textId="77777777" w:rsidR="0011760E" w:rsidRPr="0011760E" w:rsidRDefault="0011760E" w:rsidP="0011760E">
      <w:pPr>
        <w:pStyle w:val="ListParagraph"/>
        <w:spacing w:line="276" w:lineRule="auto"/>
        <w:jc w:val="both"/>
        <w:rPr>
          <w:rFonts w:ascii="Arial" w:hAnsi="Arial" w:cs="Arial"/>
          <w:bCs/>
          <w:iCs/>
          <w:lang w:val="en-US"/>
        </w:rPr>
      </w:pPr>
    </w:p>
    <w:p w14:paraId="5D654D85"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lastRenderedPageBreak/>
        <w:t xml:space="preserve">Art. 22(2) of the Polish VAT Act </w:t>
      </w:r>
    </w:p>
    <w:p w14:paraId="125BBF5C" w14:textId="77777777" w:rsidR="0011760E" w:rsidRPr="0011760E" w:rsidRDefault="0011760E" w:rsidP="0011760E">
      <w:pPr>
        <w:pStyle w:val="ListParagraph"/>
        <w:spacing w:line="276" w:lineRule="auto"/>
        <w:jc w:val="both"/>
        <w:rPr>
          <w:rFonts w:ascii="Arial" w:hAnsi="Arial" w:cs="Arial"/>
          <w:bCs/>
          <w:iCs/>
          <w:lang w:val="en-GB"/>
        </w:rPr>
      </w:pPr>
    </w:p>
    <w:p w14:paraId="64C8F04E"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W przypadku gdy kilka podmiotów dokonuje dostawy tego samego towaru w ten sposób, że pierwszy z nich wydaje ten towar bezpośrednio ostatniemu w kolejności nabywcy, przy czym towar ten jest wysyłany lub transportowany, to wysyłka lub transport tego towaru są przyporządkowane tylko jednej dostawie; jeżeli towar jest wysyłany lub transportowany przez nabywcę, który dokonuje również jego dostawy, przyjmuje się, że wysyłka lub transport są przyporządkowane dostawie dokonanej dla tego nabywcy, chyba że z warunków dostawy wynika, że wysyłkę lub transport towaru należy przyporządkować jego dostawie.</w:t>
      </w:r>
    </w:p>
    <w:p w14:paraId="0BB7CFE8" w14:textId="77777777" w:rsidR="0011760E" w:rsidRPr="0011760E" w:rsidRDefault="0011760E" w:rsidP="0011760E">
      <w:pPr>
        <w:pStyle w:val="ListParagraph"/>
        <w:spacing w:line="276" w:lineRule="auto"/>
        <w:jc w:val="both"/>
        <w:rPr>
          <w:rFonts w:ascii="Arial" w:hAnsi="Arial" w:cs="Arial"/>
          <w:bCs/>
          <w:iCs/>
        </w:rPr>
      </w:pPr>
    </w:p>
    <w:p w14:paraId="25AFBC84"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Art. 22(3) of the Polish VAT Act</w:t>
      </w:r>
    </w:p>
    <w:p w14:paraId="61DFE77F" w14:textId="77777777" w:rsidR="0011760E" w:rsidRPr="0011760E" w:rsidRDefault="0011760E" w:rsidP="0011760E">
      <w:pPr>
        <w:pStyle w:val="ListParagraph"/>
        <w:spacing w:line="276" w:lineRule="auto"/>
        <w:jc w:val="both"/>
        <w:rPr>
          <w:rFonts w:ascii="Arial" w:hAnsi="Arial" w:cs="Arial"/>
          <w:bCs/>
          <w:iCs/>
          <w:lang w:val="en-GB"/>
        </w:rPr>
      </w:pPr>
    </w:p>
    <w:p w14:paraId="65C0E148"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W przypadku, o którym mowa w ust. 2, dostawę towarów, która:</w:t>
      </w:r>
    </w:p>
    <w:p w14:paraId="338F6172"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1)  poprzedza wysyłkę lub transport towarów, uznaje się za dokonaną w miejscu rozpoczęcia wysyłki lub transportu towarów;</w:t>
      </w:r>
    </w:p>
    <w:p w14:paraId="1E9A2789"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2) następuje po wysyłce lub transporcie towarów, uznaje się za dokonaną w miejscu zakończenia wysyłki lub transportu towarów.</w:t>
      </w:r>
    </w:p>
    <w:p w14:paraId="1AEB736F" w14:textId="77777777" w:rsidR="0011760E" w:rsidRPr="0011760E" w:rsidRDefault="0011760E" w:rsidP="0011760E">
      <w:pPr>
        <w:pStyle w:val="ListParagraph"/>
        <w:spacing w:line="276" w:lineRule="auto"/>
        <w:jc w:val="both"/>
        <w:rPr>
          <w:rFonts w:ascii="Arial" w:hAnsi="Arial" w:cs="Arial"/>
          <w:bCs/>
          <w:iCs/>
        </w:rPr>
      </w:pPr>
    </w:p>
    <w:p w14:paraId="55B839CC" w14:textId="77777777" w:rsidR="0011760E" w:rsidRPr="0011760E" w:rsidRDefault="0011760E" w:rsidP="0011760E">
      <w:pPr>
        <w:pStyle w:val="Heading2"/>
        <w:spacing w:line="276" w:lineRule="auto"/>
        <w:ind w:left="708"/>
        <w:jc w:val="both"/>
        <w:rPr>
          <w:rFonts w:ascii="Arial" w:eastAsia="Times New Roman" w:hAnsi="Arial" w:cs="Arial"/>
          <w:bCs/>
          <w:iCs/>
          <w:color w:val="auto"/>
          <w:sz w:val="22"/>
          <w:szCs w:val="22"/>
          <w:lang w:val="en-US"/>
        </w:rPr>
      </w:pPr>
      <w:r w:rsidRPr="0011760E">
        <w:rPr>
          <w:rFonts w:ascii="Arial" w:eastAsia="Times New Roman" w:hAnsi="Arial" w:cs="Arial"/>
          <w:bCs/>
          <w:iCs/>
          <w:color w:val="auto"/>
          <w:sz w:val="22"/>
          <w:szCs w:val="22"/>
          <w:lang w:val="en-US"/>
        </w:rPr>
        <w:t xml:space="preserve">Draft Law </w:t>
      </w:r>
    </w:p>
    <w:p w14:paraId="178E2419" w14:textId="77777777" w:rsidR="0011760E" w:rsidRPr="0011760E" w:rsidRDefault="0011760E" w:rsidP="0011760E">
      <w:pPr>
        <w:rPr>
          <w:rFonts w:ascii="Arial" w:hAnsi="Arial" w:cs="Arial"/>
          <w:bCs/>
          <w:iCs/>
        </w:rPr>
      </w:pPr>
    </w:p>
    <w:p w14:paraId="430B9685"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As per Article 22(2) of the Polish VAT Act, considering the goods which are subject of subsequent supplies of goods, are physically transported between the first and last entity in the transaction link (at least three entities participate in the chain transaction), the shipment or transport of goods should be attributed to one supply of goods only.</w:t>
      </w:r>
    </w:p>
    <w:p w14:paraId="2E9A3213" w14:textId="77777777" w:rsidR="0011760E" w:rsidRPr="0011760E" w:rsidRDefault="0011760E" w:rsidP="0011760E">
      <w:pPr>
        <w:spacing w:line="276" w:lineRule="auto"/>
        <w:jc w:val="both"/>
        <w:rPr>
          <w:rFonts w:ascii="Arial" w:hAnsi="Arial" w:cs="Arial"/>
          <w:bCs/>
          <w:iCs/>
        </w:rPr>
      </w:pPr>
    </w:p>
    <w:p w14:paraId="6C7FE0DC"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According to the added Article 22(2a) of the Polish VAT Act, when several entities deliver the same good in such a way that the first one delivers the good directly to the last buyer, with the good being sent or transported from the territory of one Member State to the territory of another Member State, the shipment or transport of this good is only assigned to the delivery made to the intermediary (taking into account definition presented below).</w:t>
      </w:r>
    </w:p>
    <w:p w14:paraId="00E24F96" w14:textId="77777777" w:rsidR="0011760E" w:rsidRPr="0011760E" w:rsidRDefault="0011760E" w:rsidP="0011760E">
      <w:pPr>
        <w:pStyle w:val="ListParagraph"/>
        <w:spacing w:line="276" w:lineRule="auto"/>
        <w:jc w:val="both"/>
        <w:rPr>
          <w:rFonts w:ascii="Arial" w:hAnsi="Arial" w:cs="Arial"/>
          <w:bCs/>
          <w:iCs/>
          <w:lang w:val="en-US"/>
        </w:rPr>
      </w:pPr>
    </w:p>
    <w:p w14:paraId="0513E41E"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An exception to the rule specified in Article 22(2a) of the draft Polish VAT Act is introduced in added art. 22(2b) of the Polish VAT Act, which indicates that shipment or transport may be attributed solely to the supply of goods performed by an intermediary, in case that entity has provided its supplier with the identification number for intra-Community transactions assigned to it by the Member State from which the goods are dispatched or transported.</w:t>
      </w:r>
    </w:p>
    <w:p w14:paraId="67231655" w14:textId="77777777" w:rsidR="0011760E" w:rsidRPr="0011760E" w:rsidRDefault="0011760E" w:rsidP="0011760E">
      <w:pPr>
        <w:pStyle w:val="ListParagraph"/>
        <w:spacing w:line="276" w:lineRule="auto"/>
        <w:jc w:val="both"/>
        <w:rPr>
          <w:rFonts w:ascii="Arial" w:hAnsi="Arial" w:cs="Arial"/>
          <w:bCs/>
          <w:iCs/>
          <w:lang w:val="en-US"/>
        </w:rPr>
      </w:pPr>
    </w:p>
    <w:p w14:paraId="481CB27F"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 xml:space="preserve">As stated above, the clarification of the concept of intermediary has been introduced. According to the added Article 22(2c) of the Polish VAT Act, “an intermediary” is understood as a supplier of goods other than the first supplier who sends or transports goods alone or through a third party acting on his behalf. Thus, the intermediary who is organizing the transportation plays a key role in the chain transaction – to its acquisition, as a rule, movable supply will be assigned. </w:t>
      </w:r>
    </w:p>
    <w:p w14:paraId="0FF89725" w14:textId="77777777" w:rsidR="0011760E" w:rsidRPr="0011760E" w:rsidRDefault="0011760E" w:rsidP="0011760E">
      <w:pPr>
        <w:spacing w:line="276" w:lineRule="auto"/>
        <w:jc w:val="both"/>
        <w:rPr>
          <w:rFonts w:ascii="Arial" w:hAnsi="Arial" w:cs="Arial"/>
          <w:bCs/>
          <w:iCs/>
        </w:rPr>
      </w:pPr>
    </w:p>
    <w:p w14:paraId="4ECB1439"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Newly introduced provisions do not regulate chain transactions:</w:t>
      </w:r>
    </w:p>
    <w:p w14:paraId="5FD3A7DF" w14:textId="77777777" w:rsidR="0011760E" w:rsidRPr="0011760E" w:rsidRDefault="0011760E" w:rsidP="0011760E">
      <w:pPr>
        <w:pStyle w:val="ListParagraph"/>
        <w:rPr>
          <w:rFonts w:ascii="Arial" w:hAnsi="Arial" w:cs="Arial"/>
          <w:bCs/>
          <w:iCs/>
          <w:lang w:val="en-US"/>
        </w:rPr>
      </w:pPr>
    </w:p>
    <w:p w14:paraId="55DBF5B2" w14:textId="77777777" w:rsidR="0011760E" w:rsidRPr="0011760E" w:rsidRDefault="0011760E" w:rsidP="0011760E">
      <w:pPr>
        <w:pStyle w:val="ListParagraph"/>
        <w:numPr>
          <w:ilvl w:val="1"/>
          <w:numId w:val="5"/>
        </w:numPr>
        <w:spacing w:line="276" w:lineRule="auto"/>
        <w:jc w:val="both"/>
        <w:rPr>
          <w:rFonts w:ascii="Arial" w:hAnsi="Arial" w:cs="Arial"/>
          <w:bCs/>
          <w:iCs/>
          <w:lang w:val="en-US"/>
        </w:rPr>
      </w:pPr>
      <w:r w:rsidRPr="0011760E">
        <w:rPr>
          <w:rFonts w:ascii="Arial" w:hAnsi="Arial" w:cs="Arial"/>
          <w:bCs/>
          <w:iCs/>
          <w:lang w:val="en-US"/>
        </w:rPr>
        <w:lastRenderedPageBreak/>
        <w:t>involving the import and export of goods or</w:t>
      </w:r>
    </w:p>
    <w:p w14:paraId="726D85C7" w14:textId="77777777" w:rsidR="0011760E" w:rsidRPr="0011760E" w:rsidRDefault="0011760E" w:rsidP="0011760E">
      <w:pPr>
        <w:pStyle w:val="ListParagraph"/>
        <w:numPr>
          <w:ilvl w:val="1"/>
          <w:numId w:val="5"/>
        </w:numPr>
        <w:spacing w:line="276" w:lineRule="auto"/>
        <w:jc w:val="both"/>
        <w:rPr>
          <w:rFonts w:ascii="Arial" w:hAnsi="Arial" w:cs="Arial"/>
          <w:bCs/>
          <w:iCs/>
          <w:lang w:val="en-US"/>
        </w:rPr>
      </w:pPr>
      <w:r w:rsidRPr="0011760E">
        <w:rPr>
          <w:rFonts w:ascii="Arial" w:hAnsi="Arial" w:cs="Arial"/>
          <w:bCs/>
          <w:iCs/>
          <w:lang w:val="en-US"/>
        </w:rPr>
        <w:t>where the transportation should be assigned to the first or last entity in the chain</w:t>
      </w:r>
    </w:p>
    <w:p w14:paraId="6EB21482" w14:textId="77777777" w:rsidR="0011760E" w:rsidRPr="0011760E" w:rsidRDefault="0011760E" w:rsidP="0011760E">
      <w:pPr>
        <w:spacing w:line="276" w:lineRule="auto"/>
        <w:ind w:firstLine="708"/>
        <w:jc w:val="both"/>
        <w:rPr>
          <w:rFonts w:ascii="Arial" w:hAnsi="Arial" w:cs="Arial"/>
          <w:bCs/>
          <w:iCs/>
        </w:rPr>
      </w:pPr>
    </w:p>
    <w:p w14:paraId="40C9AAC0"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which means that for above cases the rules for determining the place of delivery of goods should not change and existing regulations apply.</w:t>
      </w:r>
    </w:p>
    <w:p w14:paraId="13A85468" w14:textId="77777777" w:rsidR="0011760E" w:rsidRPr="0011760E" w:rsidRDefault="0011760E" w:rsidP="0011760E">
      <w:pPr>
        <w:rPr>
          <w:rFonts w:ascii="Arial" w:hAnsi="Arial" w:cs="Arial"/>
          <w:bCs/>
          <w:iCs/>
        </w:rPr>
      </w:pPr>
    </w:p>
    <w:p w14:paraId="3BBAC64A"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 xml:space="preserve">Art 22(2) of the Polish VAT Act </w:t>
      </w:r>
    </w:p>
    <w:p w14:paraId="0755DAAE"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W przypadku gdy te same towary są przedmiotem kolejnych dostaw oraz są wysyłane lub transportowane bezpośrednio od pierwszego dostawcy do ostatniego w kolejności nabywcy, wysyłkę lub transport przyporządkowuje się wyłącznie jednej dostawie.</w:t>
      </w:r>
    </w:p>
    <w:p w14:paraId="03B2F7DE" w14:textId="77777777" w:rsidR="0011760E" w:rsidRPr="0011760E" w:rsidRDefault="0011760E" w:rsidP="0011760E">
      <w:pPr>
        <w:spacing w:line="276" w:lineRule="auto"/>
        <w:jc w:val="both"/>
        <w:rPr>
          <w:rFonts w:ascii="Arial" w:hAnsi="Arial" w:cs="Arial"/>
          <w:bCs/>
          <w:iCs/>
        </w:rPr>
      </w:pPr>
    </w:p>
    <w:p w14:paraId="03DBAB09"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 xml:space="preserve">Art. 22(2a) of the Polish VAT Act </w:t>
      </w:r>
    </w:p>
    <w:p w14:paraId="1D3D3244"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 xml:space="preserve">W przypadku towarów, o których mowa w ust. 2, które są wysyłane lub transportowane z terytorium jednego państwa członkowskiego na terytorium innego państwa członkowskiego, wysyłka lub transport tych towarów są przyporządkowane wyłącznie dostawie dokonanej do podmiotu pośredniczącego. </w:t>
      </w:r>
    </w:p>
    <w:p w14:paraId="4FBE24CE" w14:textId="77777777" w:rsidR="0011760E" w:rsidRPr="0011760E" w:rsidRDefault="0011760E" w:rsidP="0011760E">
      <w:pPr>
        <w:pStyle w:val="ListParagraph"/>
        <w:spacing w:line="276" w:lineRule="auto"/>
        <w:jc w:val="both"/>
        <w:rPr>
          <w:rFonts w:ascii="Arial" w:hAnsi="Arial" w:cs="Arial"/>
          <w:bCs/>
          <w:iCs/>
        </w:rPr>
      </w:pPr>
    </w:p>
    <w:p w14:paraId="4C96E553"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Art. 22(2b) of the Polish VAT Act</w:t>
      </w:r>
    </w:p>
    <w:p w14:paraId="53E88FF8"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W przypadku gdy podmiot pośredniczący przekazał swojemu dostawcy numer identyfikacyjny dla transakcji wewnątrzwspólnotowych nadany mu przez państwo członkowskie, z którego towary są wysyłane lub transportowane, wysyłkę lub transport przypisuje się wyłącznie dostawie towaru dokonanej przez ten podmiot.</w:t>
      </w:r>
    </w:p>
    <w:p w14:paraId="1BE80FBD" w14:textId="77777777" w:rsidR="0011760E" w:rsidRPr="0011760E" w:rsidRDefault="0011760E" w:rsidP="0011760E">
      <w:pPr>
        <w:pStyle w:val="ListParagraph"/>
        <w:spacing w:line="276" w:lineRule="auto"/>
        <w:jc w:val="both"/>
        <w:rPr>
          <w:rFonts w:ascii="Arial" w:hAnsi="Arial" w:cs="Arial"/>
          <w:bCs/>
          <w:iCs/>
        </w:rPr>
      </w:pPr>
    </w:p>
    <w:p w14:paraId="30B075B1"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 xml:space="preserve">Art. 22(2c) of the Polish VAT Act </w:t>
      </w:r>
    </w:p>
    <w:p w14:paraId="7C9FCB55"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Przez podmiot pośredniczący, o którym mowa w ust. 2a i 2b, rozumie się, innego niż pierwszy w kolejności, dostawcę towarów, który wysyła lub transportuje towar samodzielnie albo za pośrednictwem osoby trzeciej działającej na jego rzecz</w:t>
      </w:r>
    </w:p>
    <w:p w14:paraId="19487963" w14:textId="77777777" w:rsidR="0011760E" w:rsidRPr="0011760E" w:rsidRDefault="0011760E" w:rsidP="0011760E">
      <w:pPr>
        <w:pStyle w:val="ListParagraph"/>
        <w:spacing w:line="276" w:lineRule="auto"/>
        <w:jc w:val="both"/>
        <w:rPr>
          <w:rFonts w:ascii="Arial" w:hAnsi="Arial" w:cs="Arial"/>
          <w:bCs/>
          <w:iCs/>
        </w:rPr>
      </w:pPr>
    </w:p>
    <w:p w14:paraId="0C658809" w14:textId="77777777" w:rsidR="0011760E" w:rsidRPr="0011760E" w:rsidRDefault="0011760E" w:rsidP="0011760E">
      <w:pPr>
        <w:pStyle w:val="Heading3"/>
        <w:numPr>
          <w:ilvl w:val="0"/>
          <w:numId w:val="5"/>
        </w:numPr>
        <w:spacing w:line="276" w:lineRule="auto"/>
        <w:jc w:val="both"/>
        <w:rPr>
          <w:rFonts w:ascii="Arial" w:hAnsi="Arial" w:cs="Arial"/>
          <w:bCs/>
          <w:iCs/>
          <w:lang w:val="en-GB"/>
        </w:rPr>
      </w:pPr>
      <w:r w:rsidRPr="0011760E">
        <w:rPr>
          <w:rFonts w:ascii="Arial" w:hAnsi="Arial" w:cs="Arial"/>
          <w:bCs/>
          <w:iCs/>
          <w:color w:val="auto"/>
          <w:sz w:val="22"/>
          <w:szCs w:val="22"/>
          <w:lang w:val="en-GB"/>
        </w:rPr>
        <w:t xml:space="preserve">Art. 22(2d) of the Polish VAT Act </w:t>
      </w:r>
    </w:p>
    <w:p w14:paraId="2E20762C" w14:textId="77777777" w:rsidR="0011760E" w:rsidRPr="0011760E" w:rsidRDefault="0011760E" w:rsidP="0011760E">
      <w:pPr>
        <w:pStyle w:val="ListParagraph"/>
        <w:spacing w:line="276" w:lineRule="auto"/>
        <w:jc w:val="both"/>
        <w:rPr>
          <w:rFonts w:ascii="Arial" w:hAnsi="Arial" w:cs="Arial"/>
          <w:bCs/>
          <w:iCs/>
        </w:rPr>
      </w:pPr>
      <w:proofErr w:type="gramStart"/>
      <w:r w:rsidRPr="0011760E">
        <w:rPr>
          <w:rFonts w:ascii="Arial" w:hAnsi="Arial" w:cs="Arial"/>
          <w:bCs/>
          <w:iCs/>
        </w:rPr>
        <w:t>W  przypadku</w:t>
      </w:r>
      <w:proofErr w:type="gramEnd"/>
      <w:r w:rsidRPr="0011760E">
        <w:rPr>
          <w:rFonts w:ascii="Arial" w:hAnsi="Arial" w:cs="Arial"/>
          <w:bCs/>
          <w:iCs/>
        </w:rPr>
        <w:t xml:space="preserve"> towarów,  o których mowa w ust.  2, które są wysyłane lub transportowane z terytorium kraju na terytorium państwa trzeciego przez nabywcę, który </w:t>
      </w:r>
      <w:proofErr w:type="gramStart"/>
      <w:r w:rsidRPr="0011760E">
        <w:rPr>
          <w:rFonts w:ascii="Arial" w:hAnsi="Arial" w:cs="Arial"/>
          <w:bCs/>
          <w:iCs/>
        </w:rPr>
        <w:t>dokonuje  również</w:t>
      </w:r>
      <w:proofErr w:type="gramEnd"/>
      <w:r w:rsidRPr="0011760E">
        <w:rPr>
          <w:rFonts w:ascii="Arial" w:hAnsi="Arial" w:cs="Arial"/>
          <w:bCs/>
          <w:iCs/>
        </w:rPr>
        <w:t xml:space="preserve"> ich dostawy,  przyjmuje  się,  że  wysyłka  lub  transport  są przyporządkowane  dostawie  dokonanej do tego  nabywcy,  chyba  że  z  warunków dostawy  wynika, że wysyłkę lub transport towarów należy przyporządkować jego dostawie.</w:t>
      </w:r>
    </w:p>
    <w:p w14:paraId="2E62329A" w14:textId="77777777" w:rsidR="0011760E" w:rsidRPr="0011760E" w:rsidRDefault="0011760E" w:rsidP="0011760E">
      <w:pPr>
        <w:pStyle w:val="Heading1"/>
        <w:numPr>
          <w:ilvl w:val="0"/>
          <w:numId w:val="4"/>
        </w:numPr>
        <w:spacing w:line="276" w:lineRule="auto"/>
        <w:jc w:val="both"/>
        <w:rPr>
          <w:rFonts w:ascii="Arial" w:eastAsia="Times New Roman" w:hAnsi="Arial" w:cs="Arial"/>
          <w:bCs/>
          <w:iCs/>
          <w:color w:val="auto"/>
          <w:sz w:val="22"/>
          <w:szCs w:val="22"/>
          <w:lang w:val="en-US"/>
        </w:rPr>
      </w:pPr>
      <w:r w:rsidRPr="0011760E">
        <w:rPr>
          <w:rFonts w:ascii="Arial" w:eastAsia="Times New Roman" w:hAnsi="Arial" w:cs="Arial"/>
          <w:bCs/>
          <w:iCs/>
          <w:color w:val="auto"/>
          <w:sz w:val="22"/>
          <w:szCs w:val="22"/>
          <w:lang w:val="en-US"/>
        </w:rPr>
        <w:t xml:space="preserve">Documentation needed to proof intra-Community supply of goods </w:t>
      </w:r>
    </w:p>
    <w:p w14:paraId="083C15C4" w14:textId="77777777" w:rsidR="0011760E" w:rsidRPr="0011760E" w:rsidRDefault="0011760E" w:rsidP="0011760E">
      <w:pPr>
        <w:spacing w:line="276" w:lineRule="auto"/>
        <w:ind w:left="360"/>
        <w:jc w:val="both"/>
        <w:rPr>
          <w:rFonts w:ascii="Arial" w:hAnsi="Arial" w:cs="Arial"/>
          <w:bCs/>
          <w:iCs/>
        </w:rPr>
      </w:pPr>
    </w:p>
    <w:p w14:paraId="041BAF30" w14:textId="77777777" w:rsidR="0011760E" w:rsidRPr="0011760E" w:rsidRDefault="0011760E" w:rsidP="0011760E">
      <w:pPr>
        <w:pStyle w:val="Heading2"/>
        <w:spacing w:line="276" w:lineRule="auto"/>
        <w:ind w:left="708"/>
        <w:jc w:val="both"/>
        <w:rPr>
          <w:rFonts w:ascii="Arial" w:eastAsia="Times New Roman" w:hAnsi="Arial" w:cs="Arial"/>
          <w:bCs/>
          <w:iCs/>
          <w:color w:val="auto"/>
          <w:sz w:val="22"/>
          <w:szCs w:val="22"/>
          <w:lang w:val="en-US"/>
        </w:rPr>
      </w:pPr>
      <w:r w:rsidRPr="0011760E">
        <w:rPr>
          <w:rFonts w:ascii="Arial" w:eastAsia="Times New Roman" w:hAnsi="Arial" w:cs="Arial"/>
          <w:bCs/>
          <w:iCs/>
          <w:color w:val="auto"/>
          <w:sz w:val="22"/>
          <w:szCs w:val="22"/>
          <w:lang w:val="en-US"/>
        </w:rPr>
        <w:t xml:space="preserve">Current Law </w:t>
      </w:r>
    </w:p>
    <w:p w14:paraId="351C73A5" w14:textId="77777777" w:rsidR="0011760E" w:rsidRPr="0011760E" w:rsidRDefault="0011760E" w:rsidP="0011760E">
      <w:pPr>
        <w:rPr>
          <w:rFonts w:ascii="Arial" w:hAnsi="Arial" w:cs="Arial"/>
          <w:bCs/>
          <w:iCs/>
        </w:rPr>
      </w:pPr>
    </w:p>
    <w:p w14:paraId="1F8D450E"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Evidence that confirms the delivery of goods subject to ICS to a buyer located in the territory of a Member State other than the territory of the country are following documents indicated in the Article 42(3) of the Polish VAT Act:</w:t>
      </w:r>
    </w:p>
    <w:p w14:paraId="099EE1D6"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US"/>
        </w:rPr>
        <w:t xml:space="preserve">1. transport documents received from the carrier responsible for the dispatch of goods from the territory of the country, which clearly show that the goods were delivered to their destination on the territory of a </w:t>
      </w:r>
      <w:r w:rsidRPr="0011760E">
        <w:rPr>
          <w:rFonts w:ascii="Arial" w:hAnsi="Arial" w:cs="Arial"/>
          <w:bCs/>
          <w:iCs/>
          <w:lang w:val="en-US"/>
        </w:rPr>
        <w:lastRenderedPageBreak/>
        <w:t xml:space="preserve">Member State other than the territory of the country – in the case when the transport of goods is commissioned to the carrier (i.e. CMR document). </w:t>
      </w:r>
    </w:p>
    <w:p w14:paraId="2F4A879D"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US"/>
        </w:rPr>
        <w:t>2. specification of individual cargo items.</w:t>
      </w:r>
    </w:p>
    <w:p w14:paraId="594166B4" w14:textId="77777777" w:rsidR="0011760E" w:rsidRPr="0011760E" w:rsidRDefault="0011760E" w:rsidP="0011760E">
      <w:pPr>
        <w:pStyle w:val="ListParagraph"/>
        <w:spacing w:line="276" w:lineRule="auto"/>
        <w:jc w:val="both"/>
        <w:rPr>
          <w:rFonts w:ascii="Arial" w:hAnsi="Arial" w:cs="Arial"/>
          <w:bCs/>
          <w:iCs/>
          <w:lang w:val="en-US"/>
        </w:rPr>
      </w:pPr>
    </w:p>
    <w:p w14:paraId="3D0DEAF9"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It is not necessary to have all of the above evidence (documents) for applying the 0% rate (exemption with right to deduct VAT) to ICS – in the light of current judicial decisions it is sufficient for the taxpayer to possess only some of them.</w:t>
      </w:r>
    </w:p>
    <w:p w14:paraId="59FC154B" w14:textId="77777777" w:rsidR="0011760E" w:rsidRPr="0011760E" w:rsidRDefault="0011760E" w:rsidP="0011760E">
      <w:pPr>
        <w:pStyle w:val="ListParagraph"/>
        <w:spacing w:line="276" w:lineRule="auto"/>
        <w:jc w:val="both"/>
        <w:rPr>
          <w:rFonts w:ascii="Arial" w:hAnsi="Arial" w:cs="Arial"/>
          <w:bCs/>
          <w:iCs/>
          <w:lang w:val="en-US"/>
        </w:rPr>
      </w:pPr>
    </w:p>
    <w:p w14:paraId="36C9B8FC" w14:textId="77777777" w:rsidR="0011760E" w:rsidRPr="0011760E" w:rsidRDefault="0011760E" w:rsidP="0011760E">
      <w:pPr>
        <w:pStyle w:val="ListParagraph"/>
        <w:numPr>
          <w:ilvl w:val="0"/>
          <w:numId w:val="5"/>
        </w:numPr>
        <w:spacing w:line="276" w:lineRule="auto"/>
        <w:jc w:val="both"/>
        <w:rPr>
          <w:rFonts w:ascii="Arial" w:hAnsi="Arial" w:cs="Arial"/>
          <w:bCs/>
          <w:iCs/>
          <w:lang w:val="en-US"/>
        </w:rPr>
      </w:pPr>
      <w:r w:rsidRPr="0011760E">
        <w:rPr>
          <w:rFonts w:ascii="Arial" w:hAnsi="Arial" w:cs="Arial"/>
          <w:bCs/>
          <w:iCs/>
          <w:lang w:val="en-US"/>
        </w:rPr>
        <w:t>At the same time, the application of 0% VAT rate for ICS transactions should be supplemented with optional evidence, for example:</w:t>
      </w:r>
    </w:p>
    <w:p w14:paraId="73CA741C"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US"/>
        </w:rPr>
        <w:t>1. business correspondence with the buyer, including his order;</w:t>
      </w:r>
    </w:p>
    <w:p w14:paraId="38D54AD6"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US"/>
        </w:rPr>
        <w:t>2. documents regarding insurance or freight costs;</w:t>
      </w:r>
    </w:p>
    <w:p w14:paraId="69A4C689"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US"/>
        </w:rPr>
        <w:t>3. documents confirming payment for the goods, except for cases where the delivery is free of charge or the obligation is carried out in another form, in which case another document confirming the expiry of the obligation;</w:t>
      </w:r>
    </w:p>
    <w:p w14:paraId="71616AF4" w14:textId="77777777" w:rsidR="0011760E" w:rsidRPr="0011760E" w:rsidRDefault="0011760E" w:rsidP="0011760E">
      <w:pPr>
        <w:pStyle w:val="ListParagraph"/>
        <w:spacing w:line="276" w:lineRule="auto"/>
        <w:jc w:val="both"/>
        <w:rPr>
          <w:rFonts w:ascii="Arial" w:hAnsi="Arial" w:cs="Arial"/>
          <w:bCs/>
          <w:iCs/>
          <w:lang w:val="en-US"/>
        </w:rPr>
      </w:pPr>
    </w:p>
    <w:p w14:paraId="41511624" w14:textId="77777777" w:rsidR="0011760E" w:rsidRPr="0011760E" w:rsidRDefault="0011760E" w:rsidP="0011760E">
      <w:pPr>
        <w:pStyle w:val="ListParagraph"/>
        <w:spacing w:line="276" w:lineRule="auto"/>
        <w:jc w:val="both"/>
        <w:rPr>
          <w:rFonts w:ascii="Arial" w:hAnsi="Arial" w:cs="Arial"/>
          <w:bCs/>
          <w:iCs/>
          <w:lang w:val="en-US"/>
        </w:rPr>
      </w:pPr>
      <w:r w:rsidRPr="0011760E">
        <w:rPr>
          <w:rFonts w:ascii="Arial" w:hAnsi="Arial" w:cs="Arial"/>
          <w:bCs/>
          <w:iCs/>
          <w:lang w:val="en-US"/>
        </w:rPr>
        <w:t>Current VAT Law text (available only in Polish version)</w:t>
      </w:r>
    </w:p>
    <w:p w14:paraId="5ECB3486" w14:textId="77777777" w:rsidR="0011760E" w:rsidRPr="0011760E" w:rsidRDefault="0011760E" w:rsidP="0011760E">
      <w:pPr>
        <w:pStyle w:val="ListParagraph"/>
        <w:spacing w:line="276" w:lineRule="auto"/>
        <w:jc w:val="both"/>
        <w:rPr>
          <w:rFonts w:ascii="Arial" w:hAnsi="Arial" w:cs="Arial"/>
          <w:bCs/>
          <w:iCs/>
          <w:lang w:val="en-US"/>
        </w:rPr>
      </w:pPr>
    </w:p>
    <w:p w14:paraId="34AAE387"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 xml:space="preserve">Art. 42(3) of the Polish VAT Act </w:t>
      </w:r>
    </w:p>
    <w:p w14:paraId="1AE78CA2" w14:textId="77777777" w:rsidR="0011760E" w:rsidRPr="0011760E" w:rsidRDefault="0011760E" w:rsidP="0011760E">
      <w:pPr>
        <w:pStyle w:val="ListParagraph"/>
        <w:spacing w:line="276" w:lineRule="auto"/>
        <w:jc w:val="both"/>
        <w:rPr>
          <w:rFonts w:ascii="Arial" w:hAnsi="Arial" w:cs="Arial"/>
          <w:bCs/>
          <w:iCs/>
          <w:lang w:val="en-GB"/>
        </w:rPr>
      </w:pPr>
    </w:p>
    <w:p w14:paraId="400AED7B"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Dowodami, o których mowa w ust. 1 pkt 2, są następujące dokumenty, jeżeli łącznie potwierdzają dostarczenie towarów będących przedmiotem wewnątrzwspólnotowej dostawy towarów do nabywcy znajdującego się na terytorium państwa członkowskiego innym niż terytorium kraju:</w:t>
      </w:r>
    </w:p>
    <w:p w14:paraId="7E455E39"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 xml:space="preserve">1) dokumenty przewozowe otrzymane od przewoźnika (spedytora) odpowiedzialnego za wywóz towarów z terytorium kraju, z których jednoznacznie wynika, że towary zostały dostarczone do miejsca ich przeznaczenia na terytorium państwa członkowskiego inne niż terytorium kraju - w </w:t>
      </w:r>
      <w:proofErr w:type="gramStart"/>
      <w:r w:rsidRPr="0011760E">
        <w:rPr>
          <w:rFonts w:ascii="Arial" w:hAnsi="Arial" w:cs="Arial"/>
          <w:bCs/>
          <w:iCs/>
        </w:rPr>
        <w:t>przypadku</w:t>
      </w:r>
      <w:proofErr w:type="gramEnd"/>
      <w:r w:rsidRPr="0011760E">
        <w:rPr>
          <w:rFonts w:ascii="Arial" w:hAnsi="Arial" w:cs="Arial"/>
          <w:bCs/>
          <w:iCs/>
        </w:rPr>
        <w:t xml:space="preserve"> gdy przewóz towarów jest zlecany przewoźnikowi (spedytorowi),</w:t>
      </w:r>
    </w:p>
    <w:p w14:paraId="463CA90B"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3) specyfikacja poszczególnych sztuk ładunku</w:t>
      </w:r>
    </w:p>
    <w:p w14:paraId="202DDA0C" w14:textId="77777777" w:rsidR="0011760E" w:rsidRPr="0011760E" w:rsidRDefault="0011760E" w:rsidP="0011760E">
      <w:pPr>
        <w:pStyle w:val="ListParagraph"/>
        <w:spacing w:line="276" w:lineRule="auto"/>
        <w:jc w:val="both"/>
        <w:rPr>
          <w:rFonts w:ascii="Arial" w:hAnsi="Arial" w:cs="Arial"/>
          <w:bCs/>
          <w:iCs/>
        </w:rPr>
      </w:pPr>
    </w:p>
    <w:p w14:paraId="1A12CA0A" w14:textId="77777777" w:rsidR="0011760E" w:rsidRPr="0011760E" w:rsidRDefault="0011760E" w:rsidP="0011760E">
      <w:pPr>
        <w:pStyle w:val="Heading3"/>
        <w:numPr>
          <w:ilvl w:val="0"/>
          <w:numId w:val="5"/>
        </w:numPr>
        <w:spacing w:line="276" w:lineRule="auto"/>
        <w:jc w:val="both"/>
        <w:rPr>
          <w:rFonts w:ascii="Arial" w:hAnsi="Arial" w:cs="Arial"/>
          <w:bCs/>
          <w:iCs/>
          <w:color w:val="auto"/>
          <w:sz w:val="22"/>
          <w:szCs w:val="22"/>
          <w:lang w:val="en-GB"/>
        </w:rPr>
      </w:pPr>
      <w:r w:rsidRPr="0011760E">
        <w:rPr>
          <w:rFonts w:ascii="Arial" w:hAnsi="Arial" w:cs="Arial"/>
          <w:bCs/>
          <w:iCs/>
          <w:color w:val="auto"/>
          <w:sz w:val="22"/>
          <w:szCs w:val="22"/>
          <w:lang w:val="en-GB"/>
        </w:rPr>
        <w:t xml:space="preserve">Art. 42(11) of the Polish VAT Act </w:t>
      </w:r>
    </w:p>
    <w:p w14:paraId="5DDDA6A4" w14:textId="77777777" w:rsidR="0011760E" w:rsidRPr="0011760E" w:rsidRDefault="0011760E" w:rsidP="0011760E">
      <w:pPr>
        <w:pStyle w:val="ListParagraph"/>
        <w:spacing w:line="276" w:lineRule="auto"/>
        <w:jc w:val="both"/>
        <w:rPr>
          <w:rFonts w:ascii="Arial" w:hAnsi="Arial" w:cs="Arial"/>
          <w:bCs/>
          <w:iCs/>
          <w:lang w:val="en-GB"/>
        </w:rPr>
      </w:pPr>
    </w:p>
    <w:p w14:paraId="1B4EC696"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W przypadku gdy dokumenty, o których mowa w ust. 3-5, nie potwierdzają jednoznacznie dostarczenia do nabywcy znajdującego się na terytorium państwa członkowskiego innym niż terytorium kraju towarów, dowodami, o których mowa w ust. 1 pkt 2, mogą być również inne dokumenty wskazujące, że nastąpiła dostawa wewnątrzwspólnotowa, w szczególności:</w:t>
      </w:r>
    </w:p>
    <w:p w14:paraId="38251646"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1) korespondencja handlowa z nabywcą, w tym jego zamówienie;</w:t>
      </w:r>
    </w:p>
    <w:p w14:paraId="01D45499"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2) dokumenty dotyczące ubezpieczenia lub kosztów frachtu;</w:t>
      </w:r>
    </w:p>
    <w:p w14:paraId="49BE2AE7"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3) dokument potwierdzający zapłatę za towar, z wyjątkiem przypadków, gdy dostawa ma charakter nieodpłatny lub zobowiązanie jest realizowane w innej formie, w takim przypadku inny - dokument stwierdzający wygaśnięcie zobowiązania;</w:t>
      </w:r>
    </w:p>
    <w:p w14:paraId="1F80B80A" w14:textId="77777777" w:rsidR="0011760E" w:rsidRPr="0011760E" w:rsidRDefault="0011760E" w:rsidP="0011760E">
      <w:pPr>
        <w:pStyle w:val="ListParagraph"/>
        <w:spacing w:line="276" w:lineRule="auto"/>
        <w:jc w:val="both"/>
        <w:rPr>
          <w:rFonts w:ascii="Arial" w:hAnsi="Arial" w:cs="Arial"/>
          <w:bCs/>
          <w:iCs/>
        </w:rPr>
      </w:pPr>
      <w:r w:rsidRPr="0011760E">
        <w:rPr>
          <w:rFonts w:ascii="Arial" w:hAnsi="Arial" w:cs="Arial"/>
          <w:bCs/>
          <w:iCs/>
        </w:rPr>
        <w:t>4) dowód potwierdzający przyjęcie przez nabywcę towaru na terytorium państwa członkowskiego innym niż terytorium kraju.</w:t>
      </w:r>
    </w:p>
    <w:p w14:paraId="28211321" w14:textId="77777777" w:rsidR="0011760E" w:rsidRPr="0011760E" w:rsidRDefault="0011760E" w:rsidP="0011760E">
      <w:pPr>
        <w:spacing w:line="276" w:lineRule="auto"/>
        <w:jc w:val="both"/>
        <w:rPr>
          <w:rFonts w:ascii="Arial" w:hAnsi="Arial" w:cs="Arial"/>
          <w:bCs/>
          <w:iCs/>
        </w:rPr>
      </w:pPr>
    </w:p>
    <w:p w14:paraId="17E79502" w14:textId="77777777" w:rsidR="0011760E" w:rsidRPr="0011760E" w:rsidRDefault="0011760E" w:rsidP="0011760E">
      <w:pPr>
        <w:pStyle w:val="Heading2"/>
        <w:spacing w:line="276" w:lineRule="auto"/>
        <w:ind w:left="720"/>
        <w:jc w:val="both"/>
        <w:rPr>
          <w:rFonts w:ascii="Arial" w:hAnsi="Arial" w:cs="Arial"/>
          <w:bCs/>
          <w:iCs/>
          <w:color w:val="auto"/>
          <w:sz w:val="22"/>
          <w:szCs w:val="22"/>
          <w:lang w:val="en-US"/>
        </w:rPr>
      </w:pPr>
      <w:r w:rsidRPr="0011760E">
        <w:rPr>
          <w:rFonts w:ascii="Arial" w:hAnsi="Arial" w:cs="Arial"/>
          <w:bCs/>
          <w:iCs/>
          <w:color w:val="auto"/>
          <w:sz w:val="22"/>
          <w:szCs w:val="22"/>
          <w:lang w:val="en-US"/>
        </w:rPr>
        <w:t xml:space="preserve">Draft Law </w:t>
      </w:r>
    </w:p>
    <w:p w14:paraId="2A4C3429" w14:textId="77777777" w:rsidR="0011760E" w:rsidRPr="0011760E" w:rsidRDefault="0011760E" w:rsidP="0011760E">
      <w:pPr>
        <w:pStyle w:val="ListParagraph"/>
        <w:spacing w:line="276" w:lineRule="auto"/>
        <w:jc w:val="both"/>
        <w:rPr>
          <w:rFonts w:ascii="Arial" w:eastAsia="Times New Roman" w:hAnsi="Arial" w:cs="Arial"/>
          <w:bCs/>
          <w:iCs/>
          <w:lang w:val="en-US"/>
        </w:rPr>
      </w:pPr>
    </w:p>
    <w:p w14:paraId="4879D8D8" w14:textId="77777777" w:rsidR="0011760E" w:rsidRPr="0011760E" w:rsidRDefault="0011760E" w:rsidP="0011760E">
      <w:pPr>
        <w:pStyle w:val="ListParagraph"/>
        <w:spacing w:line="276" w:lineRule="auto"/>
        <w:jc w:val="both"/>
        <w:rPr>
          <w:rFonts w:ascii="Arial" w:eastAsia="Times New Roman" w:hAnsi="Arial" w:cs="Arial"/>
          <w:bCs/>
          <w:iCs/>
          <w:lang w:val="en-US"/>
        </w:rPr>
      </w:pPr>
      <w:r w:rsidRPr="0011760E">
        <w:rPr>
          <w:rFonts w:ascii="Arial" w:eastAsia="Times New Roman" w:hAnsi="Arial" w:cs="Arial"/>
          <w:bCs/>
          <w:iCs/>
          <w:lang w:val="en-US"/>
        </w:rPr>
        <w:lastRenderedPageBreak/>
        <w:t>For the purpose of applying 0% VAT rate, the regulation introduces a presumption that goods subject to intra-Community supply of goods have been dispatched from the territory of one Member State to another.</w:t>
      </w:r>
      <w:r w:rsidRPr="0011760E">
        <w:rPr>
          <w:rFonts w:ascii="Arial" w:hAnsi="Arial" w:cs="Arial"/>
          <w:bCs/>
          <w:iCs/>
          <w:lang w:val="en-US"/>
        </w:rPr>
        <w:t xml:space="preserve"> </w:t>
      </w:r>
      <w:r w:rsidRPr="0011760E">
        <w:rPr>
          <w:rFonts w:ascii="Arial" w:eastAsia="Times New Roman" w:hAnsi="Arial" w:cs="Arial"/>
          <w:bCs/>
          <w:iCs/>
          <w:lang w:val="en-US"/>
        </w:rPr>
        <w:t>The Polish legislator has not included in the new regulations any other requirements than those foreseen in the EU regulation, leaving current wording of provisions connected with ICS proving (the requirements of the regulation will directly apply in Poland, however in the Polish VAT Act a wide scope of proofs allowing to use 0% VAT rate will remain).</w:t>
      </w:r>
    </w:p>
    <w:p w14:paraId="0580A90B" w14:textId="77777777" w:rsidR="0011760E" w:rsidRPr="0011760E" w:rsidRDefault="0011760E" w:rsidP="0011760E">
      <w:pPr>
        <w:spacing w:line="276" w:lineRule="auto"/>
        <w:ind w:firstLine="708"/>
        <w:jc w:val="both"/>
        <w:rPr>
          <w:rFonts w:ascii="Arial" w:eastAsia="Times New Roman" w:hAnsi="Arial" w:cs="Arial"/>
          <w:bCs/>
          <w:iCs/>
        </w:rPr>
      </w:pPr>
    </w:p>
    <w:p w14:paraId="33E1C4EB" w14:textId="77777777" w:rsidR="0011760E" w:rsidRPr="0011760E" w:rsidRDefault="0011760E" w:rsidP="0011760E">
      <w:pPr>
        <w:spacing w:line="276" w:lineRule="auto"/>
        <w:ind w:firstLine="708"/>
        <w:jc w:val="both"/>
        <w:rPr>
          <w:rFonts w:ascii="Arial" w:eastAsia="Times New Roman" w:hAnsi="Arial" w:cs="Arial"/>
          <w:bCs/>
          <w:iCs/>
        </w:rPr>
      </w:pPr>
      <w:r w:rsidRPr="0011760E">
        <w:rPr>
          <w:rFonts w:ascii="Arial" w:eastAsia="Times New Roman" w:hAnsi="Arial" w:cs="Arial"/>
          <w:bCs/>
          <w:iCs/>
        </w:rPr>
        <w:t>Taking into account EU rules, this presumption will apply (i.e. will be approved) in the following cases:</w:t>
      </w:r>
    </w:p>
    <w:p w14:paraId="774C2E81" w14:textId="77777777" w:rsidR="0011760E" w:rsidRPr="0011760E" w:rsidRDefault="0011760E" w:rsidP="0011760E">
      <w:pPr>
        <w:pStyle w:val="ListParagraph"/>
        <w:spacing w:line="276" w:lineRule="auto"/>
        <w:jc w:val="both"/>
        <w:rPr>
          <w:rFonts w:ascii="Arial" w:eastAsia="Times New Roman" w:hAnsi="Arial" w:cs="Arial"/>
          <w:bCs/>
          <w:iCs/>
          <w:lang w:val="en-US"/>
        </w:rPr>
      </w:pPr>
    </w:p>
    <w:p w14:paraId="40A1017A" w14:textId="77777777" w:rsidR="0011760E" w:rsidRPr="0011760E" w:rsidRDefault="0011760E" w:rsidP="0011760E">
      <w:pPr>
        <w:pStyle w:val="ListParagraph"/>
        <w:numPr>
          <w:ilvl w:val="0"/>
          <w:numId w:val="1"/>
        </w:numPr>
        <w:spacing w:line="276" w:lineRule="auto"/>
        <w:jc w:val="both"/>
        <w:rPr>
          <w:rFonts w:ascii="Arial" w:eastAsia="Times New Roman" w:hAnsi="Arial" w:cs="Arial"/>
          <w:bCs/>
          <w:iCs/>
          <w:lang w:val="en-US"/>
        </w:rPr>
      </w:pPr>
      <w:r w:rsidRPr="0011760E">
        <w:rPr>
          <w:rFonts w:ascii="Arial" w:eastAsia="Times New Roman" w:hAnsi="Arial" w:cs="Arial"/>
          <w:bCs/>
          <w:iCs/>
          <w:lang w:val="en-US"/>
        </w:rPr>
        <w:t xml:space="preserve">in the case of the dispatch of goods subject to ICS by a third party acting on behalf of the supplier, the seller must have at least two non-contradictory documents (e.g. CMR document and invoice from the carrier of the goods), which were issued by two independent entities. The presumption will apply also in case of possessing </w:t>
      </w:r>
      <w:r w:rsidRPr="0011760E">
        <w:rPr>
          <w:rFonts w:ascii="Arial" w:hAnsi="Arial" w:cs="Arial"/>
          <w:bCs/>
          <w:iCs/>
          <w:szCs w:val="18"/>
          <w:lang w:val="en-US"/>
        </w:rPr>
        <w:t>such transport document combined with an additional non-contradictory piece of evidence (e.g. insurance policy, warehouse receipt, etc.).</w:t>
      </w:r>
    </w:p>
    <w:p w14:paraId="7BC26D79" w14:textId="77777777" w:rsidR="0011760E" w:rsidRPr="0011760E" w:rsidRDefault="0011760E" w:rsidP="0011760E">
      <w:pPr>
        <w:pStyle w:val="ListParagraph"/>
        <w:spacing w:line="276" w:lineRule="auto"/>
        <w:jc w:val="both"/>
        <w:rPr>
          <w:rFonts w:ascii="Arial" w:eastAsia="Times New Roman" w:hAnsi="Arial" w:cs="Arial"/>
          <w:bCs/>
          <w:iCs/>
          <w:lang w:val="en-US"/>
        </w:rPr>
      </w:pPr>
    </w:p>
    <w:p w14:paraId="6CEEB816" w14:textId="77777777" w:rsidR="0011760E" w:rsidRPr="0011760E" w:rsidRDefault="0011760E" w:rsidP="0011760E">
      <w:pPr>
        <w:pStyle w:val="ListParagraph"/>
        <w:numPr>
          <w:ilvl w:val="0"/>
          <w:numId w:val="1"/>
        </w:numPr>
        <w:spacing w:line="276" w:lineRule="auto"/>
        <w:jc w:val="both"/>
        <w:rPr>
          <w:rFonts w:ascii="Arial" w:eastAsia="Times New Roman" w:hAnsi="Arial" w:cs="Arial"/>
          <w:bCs/>
          <w:iCs/>
          <w:lang w:val="en-US"/>
        </w:rPr>
      </w:pPr>
      <w:r w:rsidRPr="0011760E">
        <w:rPr>
          <w:rFonts w:ascii="Arial" w:eastAsia="Times New Roman" w:hAnsi="Arial" w:cs="Arial"/>
          <w:bCs/>
          <w:iCs/>
          <w:lang w:val="en-US"/>
        </w:rPr>
        <w:t xml:space="preserve">if the seller has a written declaration from the buyer confirming that the goods have been dispatched to another Member State (indication of that country is also mandatory) by that buyer or a third party acting on his behalf; </w:t>
      </w:r>
    </w:p>
    <w:p w14:paraId="1D190B05" w14:textId="77777777" w:rsidR="0011760E" w:rsidRPr="0011760E" w:rsidRDefault="0011760E" w:rsidP="0011760E">
      <w:pPr>
        <w:pStyle w:val="ListParagraph"/>
        <w:spacing w:line="276" w:lineRule="auto"/>
        <w:jc w:val="both"/>
        <w:rPr>
          <w:rFonts w:ascii="Arial" w:eastAsia="Times New Roman" w:hAnsi="Arial" w:cs="Arial"/>
          <w:bCs/>
          <w:iCs/>
          <w:lang w:val="en-US"/>
        </w:rPr>
      </w:pPr>
    </w:p>
    <w:p w14:paraId="64C88F5D" w14:textId="77777777" w:rsidR="0011760E" w:rsidRPr="0011760E" w:rsidRDefault="0011760E" w:rsidP="0011760E">
      <w:pPr>
        <w:pStyle w:val="ListParagraph"/>
        <w:numPr>
          <w:ilvl w:val="0"/>
          <w:numId w:val="1"/>
        </w:numPr>
        <w:spacing w:line="276" w:lineRule="auto"/>
        <w:jc w:val="both"/>
        <w:rPr>
          <w:rFonts w:ascii="Arial" w:eastAsia="Times New Roman" w:hAnsi="Arial" w:cs="Arial"/>
          <w:bCs/>
          <w:iCs/>
          <w:lang w:val="en-US"/>
        </w:rPr>
      </w:pPr>
      <w:r w:rsidRPr="0011760E">
        <w:rPr>
          <w:rFonts w:ascii="Arial" w:eastAsia="Times New Roman" w:hAnsi="Arial" w:cs="Arial"/>
          <w:bCs/>
          <w:iCs/>
          <w:lang w:val="en-US"/>
        </w:rPr>
        <w:t xml:space="preserve">when dispatching goods by a third party, the seller must have at least two non-contradictory documents (e.g. CMR and invoice from the carrier of the goods), which were issued by two independent entities. The presumption will apply also in case of possessing </w:t>
      </w:r>
      <w:r w:rsidRPr="0011760E">
        <w:rPr>
          <w:rFonts w:ascii="Arial" w:hAnsi="Arial" w:cs="Arial"/>
          <w:bCs/>
          <w:iCs/>
          <w:szCs w:val="18"/>
          <w:lang w:val="en-US"/>
        </w:rPr>
        <w:t>such transport document combined with an additional non-contradictory piece of evidence (e.g. insurance policy, warehouse receipt, etc.).</w:t>
      </w:r>
    </w:p>
    <w:p w14:paraId="7D30C6BC" w14:textId="77777777" w:rsidR="0011760E" w:rsidRPr="0011760E" w:rsidRDefault="0011760E" w:rsidP="0011760E">
      <w:pPr>
        <w:pStyle w:val="ListParagraph"/>
        <w:spacing w:line="276" w:lineRule="auto"/>
        <w:ind w:left="1440"/>
        <w:jc w:val="both"/>
        <w:rPr>
          <w:rFonts w:ascii="Arial" w:eastAsia="Times New Roman" w:hAnsi="Arial" w:cs="Arial"/>
          <w:bCs/>
          <w:iCs/>
          <w:lang w:val="en-US"/>
        </w:rPr>
      </w:pPr>
    </w:p>
    <w:p w14:paraId="53452656" w14:textId="77777777" w:rsidR="0011760E" w:rsidRPr="0011760E" w:rsidRDefault="0011760E" w:rsidP="0011760E">
      <w:pPr>
        <w:pStyle w:val="Heading1"/>
        <w:numPr>
          <w:ilvl w:val="0"/>
          <w:numId w:val="4"/>
        </w:numPr>
        <w:spacing w:line="276" w:lineRule="auto"/>
        <w:jc w:val="both"/>
        <w:rPr>
          <w:rFonts w:ascii="Arial" w:eastAsia="Times New Roman" w:hAnsi="Arial" w:cs="Arial"/>
          <w:bCs/>
          <w:iCs/>
          <w:color w:val="auto"/>
          <w:sz w:val="22"/>
          <w:szCs w:val="22"/>
        </w:rPr>
      </w:pPr>
      <w:r w:rsidRPr="0011760E">
        <w:rPr>
          <w:rFonts w:ascii="Arial" w:eastAsia="Times New Roman" w:hAnsi="Arial" w:cs="Arial"/>
          <w:bCs/>
          <w:iCs/>
          <w:color w:val="auto"/>
          <w:sz w:val="22"/>
          <w:szCs w:val="22"/>
        </w:rPr>
        <w:t xml:space="preserve">Call off stock </w:t>
      </w:r>
    </w:p>
    <w:p w14:paraId="1EDC9DD1" w14:textId="77777777" w:rsidR="0011760E" w:rsidRPr="0011760E" w:rsidRDefault="0011760E" w:rsidP="0011760E">
      <w:pPr>
        <w:spacing w:line="276" w:lineRule="auto"/>
        <w:jc w:val="both"/>
        <w:rPr>
          <w:rFonts w:ascii="Arial" w:hAnsi="Arial" w:cs="Arial"/>
          <w:bCs/>
          <w:iCs/>
        </w:rPr>
      </w:pPr>
    </w:p>
    <w:p w14:paraId="109F15F9" w14:textId="77777777" w:rsidR="0011760E" w:rsidRPr="0011760E" w:rsidRDefault="0011760E" w:rsidP="0011760E">
      <w:pPr>
        <w:pStyle w:val="Heading2"/>
        <w:spacing w:line="276" w:lineRule="auto"/>
        <w:ind w:left="708"/>
        <w:jc w:val="both"/>
        <w:rPr>
          <w:rFonts w:ascii="Arial" w:eastAsia="Times New Roman" w:hAnsi="Arial" w:cs="Arial"/>
          <w:bCs/>
          <w:iCs/>
          <w:color w:val="auto"/>
          <w:sz w:val="22"/>
          <w:szCs w:val="22"/>
        </w:rPr>
      </w:pPr>
      <w:r w:rsidRPr="0011760E">
        <w:rPr>
          <w:rFonts w:ascii="Arial" w:eastAsia="Times New Roman" w:hAnsi="Arial" w:cs="Arial"/>
          <w:bCs/>
          <w:iCs/>
          <w:color w:val="auto"/>
          <w:sz w:val="22"/>
          <w:szCs w:val="22"/>
        </w:rPr>
        <w:t xml:space="preserve">Current Law </w:t>
      </w:r>
    </w:p>
    <w:p w14:paraId="421AAA07" w14:textId="77777777" w:rsidR="0011760E" w:rsidRPr="0011760E" w:rsidRDefault="0011760E" w:rsidP="0011760E">
      <w:pPr>
        <w:rPr>
          <w:rFonts w:ascii="Arial" w:hAnsi="Arial" w:cs="Arial"/>
          <w:bCs/>
          <w:iCs/>
        </w:rPr>
      </w:pPr>
    </w:p>
    <w:p w14:paraId="13F9ADB4"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 xml:space="preserve">The consignment warehouse procedure (valid for call of stock type of warehouses) was introduced into the Polish VAT Act on December 1, 2008. Pursuant to the regulations introduced in 2008, a </w:t>
      </w:r>
      <w:proofErr w:type="gramStart"/>
      <w:r w:rsidRPr="0011760E">
        <w:rPr>
          <w:rFonts w:ascii="Arial" w:hAnsi="Arial" w:cs="Arial"/>
          <w:bCs/>
          <w:iCs/>
          <w:lang w:val="en-US"/>
        </w:rPr>
        <w:t>value added</w:t>
      </w:r>
      <w:proofErr w:type="gramEnd"/>
      <w:r w:rsidRPr="0011760E">
        <w:rPr>
          <w:rFonts w:ascii="Arial" w:hAnsi="Arial" w:cs="Arial"/>
          <w:bCs/>
          <w:iCs/>
          <w:lang w:val="en-US"/>
        </w:rPr>
        <w:t xml:space="preserve"> taxpayer who introduces goods to the consignment warehouse located in Poland is not obliged to register in Poland as a taxpayer VAT or settlement of intra-Community acquisition of goods, followed by tax on domestic sales of goods in this warehouse.</w:t>
      </w:r>
    </w:p>
    <w:p w14:paraId="6C89A017" w14:textId="77777777" w:rsidR="0011760E" w:rsidRPr="0011760E" w:rsidRDefault="0011760E" w:rsidP="0011760E">
      <w:pPr>
        <w:pStyle w:val="ListParagraph"/>
        <w:spacing w:line="276" w:lineRule="auto"/>
        <w:jc w:val="both"/>
        <w:rPr>
          <w:rFonts w:ascii="Arial" w:hAnsi="Arial" w:cs="Arial"/>
          <w:bCs/>
          <w:iCs/>
          <w:lang w:val="en-US"/>
        </w:rPr>
      </w:pPr>
    </w:p>
    <w:p w14:paraId="76CF7A0E"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The Polish Act on VAT, in the version applicable until the end of 2019, contains legal definitions of the consignment warehouse and the consignment warehouse operator (Article 2, points 27c and 27d), as well as a description of the procedure for moving goods using the consignment warehouse (Article 12a) and the time when the tax obligation arose (Article 20b).</w:t>
      </w:r>
    </w:p>
    <w:p w14:paraId="108A53EA" w14:textId="77777777" w:rsidR="0011760E" w:rsidRPr="0011760E" w:rsidRDefault="0011760E" w:rsidP="0011760E">
      <w:pPr>
        <w:spacing w:line="276" w:lineRule="auto"/>
        <w:ind w:left="708"/>
        <w:jc w:val="both"/>
        <w:rPr>
          <w:rFonts w:ascii="Arial" w:hAnsi="Arial" w:cs="Arial"/>
          <w:bCs/>
          <w:iCs/>
        </w:rPr>
      </w:pPr>
    </w:p>
    <w:p w14:paraId="25C1EFFB" w14:textId="77777777" w:rsidR="0011760E" w:rsidRPr="0011760E" w:rsidRDefault="0011760E" w:rsidP="0011760E">
      <w:pPr>
        <w:spacing w:line="276" w:lineRule="auto"/>
        <w:ind w:left="708" w:firstLine="2"/>
        <w:jc w:val="both"/>
        <w:rPr>
          <w:rFonts w:ascii="Arial" w:hAnsi="Arial" w:cs="Arial"/>
          <w:bCs/>
          <w:iCs/>
        </w:rPr>
      </w:pPr>
      <w:r w:rsidRPr="0011760E">
        <w:rPr>
          <w:rFonts w:ascii="Arial" w:hAnsi="Arial" w:cs="Arial"/>
          <w:bCs/>
          <w:iCs/>
        </w:rPr>
        <w:t>When analyzing this legal definition of the consignment warehouse, it should be noted that the consignment warehouse has following features:</w:t>
      </w:r>
    </w:p>
    <w:p w14:paraId="1C203DF6"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 goods moved to this warehouse are intended for a specified buyer;</w:t>
      </w:r>
    </w:p>
    <w:p w14:paraId="1BF5CEAD"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lastRenderedPageBreak/>
        <w:t>• goods belonging to the taxpayer of value added tax are moved from a Member State other than the territory of the country to the territory of the country;</w:t>
      </w:r>
    </w:p>
    <w:p w14:paraId="40068130"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 postponing the moment of transferring the right to dispose of the goods as the owner - the tax obligation does not arise when the goods are moved to the warehouse, but when the goods are removed from the warehouse.</w:t>
      </w:r>
    </w:p>
    <w:p w14:paraId="5496ED12" w14:textId="77777777" w:rsidR="0011760E" w:rsidRPr="0011760E" w:rsidRDefault="0011760E" w:rsidP="0011760E">
      <w:pPr>
        <w:spacing w:line="276" w:lineRule="auto"/>
        <w:ind w:left="708"/>
        <w:jc w:val="both"/>
        <w:rPr>
          <w:rFonts w:ascii="Arial" w:hAnsi="Arial" w:cs="Arial"/>
          <w:bCs/>
          <w:iCs/>
        </w:rPr>
      </w:pPr>
    </w:p>
    <w:p w14:paraId="3D11B530"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The consignment warehouse can only be run by the final purchaser of the goods who collects the goods (restrictive approach of the tax authorities). The stored goods are intended only for production or service activities, excluding commercial (trade) activities. The operator of the consignment warehouse, prior to the first entry of goods into this warehouse, notifies the head of the tax office of the intention to run a consignment warehouse. The warehouse keeper retains records of goods entering this warehouse.</w:t>
      </w:r>
    </w:p>
    <w:p w14:paraId="6B60D09F" w14:textId="77777777" w:rsidR="0011760E" w:rsidRPr="0011760E" w:rsidRDefault="0011760E" w:rsidP="0011760E">
      <w:pPr>
        <w:spacing w:line="276" w:lineRule="auto"/>
        <w:jc w:val="both"/>
        <w:rPr>
          <w:rFonts w:ascii="Arial" w:hAnsi="Arial" w:cs="Arial"/>
          <w:bCs/>
          <w:iCs/>
        </w:rPr>
      </w:pPr>
    </w:p>
    <w:p w14:paraId="7C3049F6" w14:textId="77777777" w:rsidR="0011760E" w:rsidRPr="0011760E" w:rsidRDefault="0011760E" w:rsidP="0011760E">
      <w:pPr>
        <w:pStyle w:val="Heading2"/>
        <w:spacing w:line="276" w:lineRule="auto"/>
        <w:ind w:left="708"/>
        <w:jc w:val="both"/>
        <w:rPr>
          <w:rFonts w:ascii="Arial" w:eastAsia="Times New Roman" w:hAnsi="Arial" w:cs="Arial"/>
          <w:bCs/>
          <w:iCs/>
          <w:color w:val="auto"/>
          <w:sz w:val="22"/>
          <w:szCs w:val="22"/>
          <w:lang w:val="en-US"/>
        </w:rPr>
      </w:pPr>
      <w:r w:rsidRPr="0011760E">
        <w:rPr>
          <w:rFonts w:ascii="Arial" w:eastAsia="Times New Roman" w:hAnsi="Arial" w:cs="Arial"/>
          <w:bCs/>
          <w:iCs/>
          <w:color w:val="auto"/>
          <w:sz w:val="22"/>
          <w:szCs w:val="22"/>
          <w:lang w:val="en-US"/>
        </w:rPr>
        <w:t xml:space="preserve">Draft Law </w:t>
      </w:r>
    </w:p>
    <w:p w14:paraId="63925947" w14:textId="77777777" w:rsidR="0011760E" w:rsidRPr="0011760E" w:rsidRDefault="0011760E" w:rsidP="0011760E">
      <w:pPr>
        <w:ind w:left="708"/>
        <w:rPr>
          <w:rFonts w:ascii="Arial" w:hAnsi="Arial" w:cs="Arial"/>
          <w:bCs/>
          <w:iCs/>
        </w:rPr>
      </w:pPr>
      <w:r w:rsidRPr="0011760E">
        <w:rPr>
          <w:rFonts w:ascii="Arial" w:hAnsi="Arial" w:cs="Arial"/>
          <w:bCs/>
          <w:iCs/>
        </w:rPr>
        <w:t>New regime is similar to the solutions that currently exist in Polish system. However, fewer requirements have been proposed – the main difference with Polish regulations is that:</w:t>
      </w:r>
    </w:p>
    <w:p w14:paraId="0077DCD4" w14:textId="77777777" w:rsidR="0011760E" w:rsidRPr="0011760E" w:rsidRDefault="0011760E" w:rsidP="0011760E">
      <w:pPr>
        <w:rPr>
          <w:rFonts w:ascii="Arial" w:hAnsi="Arial" w:cs="Arial"/>
          <w:bCs/>
          <w:iCs/>
        </w:rPr>
      </w:pPr>
    </w:p>
    <w:p w14:paraId="115F50F0"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The warehouse does not have to be run by the final purchaser (it can be an external warehouse).</w:t>
      </w:r>
    </w:p>
    <w:p w14:paraId="10B0C934"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There is no exclusion of products stored for the purposes of commercial/trade activities (currently the simplification may be applied solely under condition that the goods stored in the warehouses are intended for the production or service activity of the buyer, excluding commercial activities).</w:t>
      </w:r>
    </w:p>
    <w:p w14:paraId="69238FD7"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 xml:space="preserve">A person is required to submit a notification about the operation of the warehouse within 14 days from the date of the first entry of the goods into the warehouse, electronically to the head of the tax office. Failure to comply with these obligations will be subject to a fine as for a tax offense. </w:t>
      </w:r>
    </w:p>
    <w:p w14:paraId="1452194A"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Keeping the warehouse and entering goods into the warehouse keep records of these goods. In addition, the seller should include information about this transaction in the VAT-EU declaration (when the shipment begins).</w:t>
      </w:r>
    </w:p>
    <w:p w14:paraId="2CA0F683" w14:textId="77777777" w:rsidR="0011760E" w:rsidRPr="0011760E" w:rsidRDefault="0011760E" w:rsidP="0011760E">
      <w:pPr>
        <w:pStyle w:val="ListParagraph"/>
        <w:numPr>
          <w:ilvl w:val="0"/>
          <w:numId w:val="6"/>
        </w:numPr>
        <w:spacing w:line="276" w:lineRule="auto"/>
        <w:jc w:val="both"/>
        <w:rPr>
          <w:rFonts w:ascii="Arial" w:hAnsi="Arial" w:cs="Arial"/>
          <w:bCs/>
          <w:iCs/>
          <w:lang w:val="en-US"/>
        </w:rPr>
      </w:pPr>
      <w:r w:rsidRPr="0011760E">
        <w:rPr>
          <w:rFonts w:ascii="Arial" w:hAnsi="Arial" w:cs="Arial"/>
          <w:bCs/>
          <w:iCs/>
          <w:lang w:val="en-US"/>
        </w:rPr>
        <w:t xml:space="preserve">The period during which the goods stored in the warehouse are required to be removed – from 24 to 12 months. </w:t>
      </w:r>
    </w:p>
    <w:p w14:paraId="361DD622" w14:textId="77777777" w:rsidR="0011760E" w:rsidRPr="0011760E" w:rsidRDefault="0011760E" w:rsidP="0011760E">
      <w:pPr>
        <w:spacing w:line="276" w:lineRule="auto"/>
        <w:ind w:left="348"/>
        <w:jc w:val="both"/>
        <w:rPr>
          <w:rFonts w:ascii="Arial" w:hAnsi="Arial" w:cs="Arial"/>
          <w:bCs/>
          <w:iCs/>
        </w:rPr>
      </w:pPr>
    </w:p>
    <w:p w14:paraId="31ACA853" w14:textId="77777777" w:rsidR="0011760E" w:rsidRPr="0011760E" w:rsidRDefault="0011760E" w:rsidP="0011760E">
      <w:pPr>
        <w:pStyle w:val="Heading1"/>
        <w:numPr>
          <w:ilvl w:val="0"/>
          <w:numId w:val="4"/>
        </w:numPr>
        <w:spacing w:line="276" w:lineRule="auto"/>
        <w:jc w:val="both"/>
        <w:rPr>
          <w:rFonts w:ascii="Arial" w:eastAsia="Times New Roman" w:hAnsi="Arial" w:cs="Arial"/>
          <w:bCs/>
          <w:iCs/>
          <w:color w:val="auto"/>
          <w:sz w:val="22"/>
          <w:szCs w:val="22"/>
          <w:lang w:val="en-US"/>
        </w:rPr>
      </w:pPr>
      <w:r w:rsidRPr="0011760E">
        <w:rPr>
          <w:rFonts w:ascii="Arial" w:eastAsia="Times New Roman" w:hAnsi="Arial" w:cs="Arial"/>
          <w:bCs/>
          <w:iCs/>
          <w:color w:val="auto"/>
          <w:sz w:val="22"/>
          <w:szCs w:val="22"/>
          <w:lang w:val="en-US"/>
        </w:rPr>
        <w:t>VAT identification number as a material requirement</w:t>
      </w:r>
    </w:p>
    <w:p w14:paraId="47C2470D" w14:textId="77777777" w:rsidR="0011760E" w:rsidRPr="0011760E" w:rsidRDefault="0011760E" w:rsidP="0011760E">
      <w:pPr>
        <w:pStyle w:val="ListParagraph"/>
        <w:spacing w:line="276" w:lineRule="auto"/>
        <w:jc w:val="both"/>
        <w:rPr>
          <w:rFonts w:ascii="Arial" w:eastAsia="Times New Roman" w:hAnsi="Arial" w:cs="Arial"/>
          <w:bCs/>
          <w:iCs/>
          <w:lang w:val="en-US"/>
        </w:rPr>
      </w:pPr>
    </w:p>
    <w:p w14:paraId="032CA1D5" w14:textId="77777777" w:rsidR="0011760E" w:rsidRPr="0011760E" w:rsidRDefault="0011760E" w:rsidP="0011760E">
      <w:pPr>
        <w:pStyle w:val="Heading2"/>
        <w:spacing w:line="276" w:lineRule="auto"/>
        <w:ind w:left="360" w:firstLine="348"/>
        <w:jc w:val="both"/>
        <w:rPr>
          <w:rFonts w:ascii="Arial" w:hAnsi="Arial" w:cs="Arial"/>
          <w:bCs/>
          <w:iCs/>
          <w:color w:val="auto"/>
          <w:sz w:val="22"/>
          <w:szCs w:val="22"/>
          <w:lang w:val="en-US"/>
        </w:rPr>
      </w:pPr>
      <w:r w:rsidRPr="0011760E">
        <w:rPr>
          <w:rFonts w:ascii="Arial" w:hAnsi="Arial" w:cs="Arial"/>
          <w:bCs/>
          <w:iCs/>
          <w:color w:val="auto"/>
          <w:sz w:val="22"/>
          <w:szCs w:val="22"/>
          <w:lang w:val="en-US"/>
        </w:rPr>
        <w:t>Current Law</w:t>
      </w:r>
    </w:p>
    <w:p w14:paraId="62490F44" w14:textId="77777777" w:rsidR="0011760E" w:rsidRPr="0011760E" w:rsidRDefault="0011760E" w:rsidP="0011760E">
      <w:pPr>
        <w:pStyle w:val="ListParagraph"/>
        <w:spacing w:line="276" w:lineRule="auto"/>
        <w:ind w:left="708"/>
        <w:jc w:val="both"/>
        <w:rPr>
          <w:rFonts w:ascii="Arial" w:hAnsi="Arial" w:cs="Arial"/>
          <w:bCs/>
          <w:iCs/>
          <w:lang w:val="en-US"/>
        </w:rPr>
      </w:pPr>
      <w:r w:rsidRPr="0011760E">
        <w:rPr>
          <w:rFonts w:ascii="Arial" w:hAnsi="Arial" w:cs="Arial"/>
          <w:bCs/>
          <w:iCs/>
          <w:lang w:val="en-US"/>
        </w:rPr>
        <w:t xml:space="preserve">The currently applicable provisions of the Polish VAT Act regarding the application of the 0% VAT rate for intra-Community supply of goods (Article 42 of the Polish VAT Act) relate to the condition the buyer who has the correct and valid identification number for intra-Community transactions issued in the Member State relevant for the buyer. </w:t>
      </w:r>
    </w:p>
    <w:p w14:paraId="27DB87F6" w14:textId="77777777" w:rsidR="0011760E" w:rsidRPr="0011760E" w:rsidRDefault="0011760E" w:rsidP="0011760E">
      <w:pPr>
        <w:pStyle w:val="ListParagraph"/>
        <w:spacing w:line="276" w:lineRule="auto"/>
        <w:ind w:left="708"/>
        <w:jc w:val="both"/>
        <w:rPr>
          <w:rFonts w:ascii="Arial" w:hAnsi="Arial" w:cs="Arial"/>
          <w:bCs/>
          <w:iCs/>
          <w:lang w:val="en-US"/>
        </w:rPr>
      </w:pPr>
    </w:p>
    <w:p w14:paraId="2BFBB432" w14:textId="77777777" w:rsidR="0011760E" w:rsidRPr="0011760E" w:rsidRDefault="0011760E" w:rsidP="0011760E">
      <w:pPr>
        <w:pStyle w:val="ListParagraph"/>
        <w:spacing w:line="276" w:lineRule="auto"/>
        <w:ind w:left="708"/>
        <w:jc w:val="both"/>
        <w:rPr>
          <w:rFonts w:ascii="Arial" w:hAnsi="Arial" w:cs="Arial"/>
          <w:bCs/>
          <w:iCs/>
          <w:lang w:val="en-US"/>
        </w:rPr>
      </w:pPr>
      <w:r w:rsidRPr="0011760E">
        <w:rPr>
          <w:rFonts w:ascii="Arial" w:hAnsi="Arial" w:cs="Arial"/>
          <w:bCs/>
          <w:iCs/>
          <w:lang w:val="en-US"/>
        </w:rPr>
        <w:t>For favorable case law of the CJEU, generally accepted by tax authorities, allows for settling intra-EU transactions in a VAT-neutral manner if the transaction took place, even if the formal conditions were not met (e.g. providing the active NIP of the contractor).</w:t>
      </w:r>
    </w:p>
    <w:p w14:paraId="723CB51B" w14:textId="77777777" w:rsidR="0011760E" w:rsidRPr="0011760E" w:rsidRDefault="0011760E" w:rsidP="0011760E">
      <w:pPr>
        <w:pStyle w:val="ListParagraph"/>
        <w:spacing w:line="276" w:lineRule="auto"/>
        <w:ind w:left="360"/>
        <w:jc w:val="both"/>
        <w:rPr>
          <w:rFonts w:ascii="Arial" w:hAnsi="Arial" w:cs="Arial"/>
          <w:bCs/>
          <w:iCs/>
          <w:lang w:val="en-US"/>
        </w:rPr>
      </w:pPr>
    </w:p>
    <w:p w14:paraId="1DFCCFEF" w14:textId="77777777" w:rsidR="0011760E" w:rsidRPr="0011760E" w:rsidRDefault="0011760E" w:rsidP="0011760E">
      <w:pPr>
        <w:pStyle w:val="ListParagraph"/>
        <w:spacing w:line="276" w:lineRule="auto"/>
        <w:ind w:left="360"/>
        <w:jc w:val="both"/>
        <w:rPr>
          <w:rFonts w:ascii="Arial" w:hAnsi="Arial" w:cs="Arial"/>
          <w:bCs/>
          <w:iCs/>
          <w:lang w:val="en-US"/>
        </w:rPr>
      </w:pPr>
      <w:r w:rsidRPr="0011760E">
        <w:rPr>
          <w:rFonts w:ascii="Arial" w:hAnsi="Arial" w:cs="Arial"/>
          <w:bCs/>
          <w:iCs/>
          <w:lang w:val="en-US"/>
        </w:rPr>
        <w:tab/>
        <w:t xml:space="preserve">Text of the current VAT Law (available in Polish version only) </w:t>
      </w:r>
    </w:p>
    <w:p w14:paraId="06C1D8DF" w14:textId="77777777" w:rsidR="0011760E" w:rsidRPr="0011760E" w:rsidRDefault="0011760E" w:rsidP="0011760E">
      <w:pPr>
        <w:pStyle w:val="ListParagraph"/>
        <w:spacing w:line="276" w:lineRule="auto"/>
        <w:ind w:left="360"/>
        <w:jc w:val="both"/>
        <w:rPr>
          <w:rFonts w:ascii="Arial" w:hAnsi="Arial" w:cs="Arial"/>
          <w:bCs/>
          <w:iCs/>
          <w:lang w:val="en-US"/>
        </w:rPr>
      </w:pPr>
    </w:p>
    <w:p w14:paraId="55A99CB5" w14:textId="77777777" w:rsidR="0011760E" w:rsidRPr="0011760E" w:rsidRDefault="0011760E" w:rsidP="0011760E">
      <w:pPr>
        <w:pStyle w:val="Heading3"/>
        <w:spacing w:line="276" w:lineRule="auto"/>
        <w:ind w:left="360" w:firstLine="348"/>
        <w:jc w:val="both"/>
        <w:rPr>
          <w:rFonts w:ascii="Arial" w:hAnsi="Arial" w:cs="Arial"/>
          <w:bCs/>
          <w:iCs/>
          <w:color w:val="auto"/>
          <w:sz w:val="22"/>
          <w:szCs w:val="22"/>
          <w:lang w:val="en-GB"/>
        </w:rPr>
      </w:pPr>
      <w:r w:rsidRPr="0011760E">
        <w:rPr>
          <w:rFonts w:ascii="Arial" w:hAnsi="Arial" w:cs="Arial"/>
          <w:bCs/>
          <w:iCs/>
          <w:color w:val="auto"/>
          <w:sz w:val="22"/>
          <w:szCs w:val="22"/>
          <w:lang w:val="en-GB"/>
        </w:rPr>
        <w:t>Art.42 of the Polish VAT Act</w:t>
      </w:r>
    </w:p>
    <w:p w14:paraId="66EDA059" w14:textId="77777777" w:rsidR="0011760E" w:rsidRPr="0011760E" w:rsidRDefault="0011760E" w:rsidP="0011760E">
      <w:pPr>
        <w:rPr>
          <w:rFonts w:ascii="Arial" w:hAnsi="Arial" w:cs="Arial"/>
          <w:bCs/>
          <w:iCs/>
          <w:lang w:val="en-GB"/>
        </w:rPr>
      </w:pPr>
    </w:p>
    <w:p w14:paraId="452D52F2" w14:textId="77777777" w:rsidR="0011760E" w:rsidRPr="0011760E" w:rsidRDefault="0011760E" w:rsidP="0011760E">
      <w:pPr>
        <w:pStyle w:val="ListParagraph"/>
        <w:spacing w:line="276" w:lineRule="auto"/>
        <w:ind w:left="708"/>
        <w:jc w:val="both"/>
        <w:rPr>
          <w:rFonts w:ascii="Arial" w:hAnsi="Arial" w:cs="Arial"/>
          <w:bCs/>
          <w:iCs/>
        </w:rPr>
      </w:pPr>
      <w:r w:rsidRPr="0011760E">
        <w:rPr>
          <w:rFonts w:ascii="Arial" w:hAnsi="Arial" w:cs="Arial"/>
          <w:bCs/>
          <w:iCs/>
        </w:rPr>
        <w:t xml:space="preserve">1.  Wewnątrzwspólnotowa dostawa towarów podlega opodatkowaniu według stawki podatku 0%, pod </w:t>
      </w:r>
      <w:proofErr w:type="gramStart"/>
      <w:r w:rsidRPr="0011760E">
        <w:rPr>
          <w:rFonts w:ascii="Arial" w:hAnsi="Arial" w:cs="Arial"/>
          <w:bCs/>
          <w:iCs/>
        </w:rPr>
        <w:t>warunkiem</w:t>
      </w:r>
      <w:proofErr w:type="gramEnd"/>
      <w:r w:rsidRPr="0011760E">
        <w:rPr>
          <w:rFonts w:ascii="Arial" w:hAnsi="Arial" w:cs="Arial"/>
          <w:bCs/>
          <w:iCs/>
        </w:rPr>
        <w:t xml:space="preserve"> że:</w:t>
      </w:r>
    </w:p>
    <w:p w14:paraId="76D3D4DE" w14:textId="77777777" w:rsidR="0011760E" w:rsidRPr="0011760E" w:rsidRDefault="0011760E" w:rsidP="0011760E">
      <w:pPr>
        <w:pStyle w:val="ListParagraph"/>
        <w:spacing w:line="276" w:lineRule="auto"/>
        <w:ind w:left="360"/>
        <w:jc w:val="both"/>
        <w:rPr>
          <w:rFonts w:ascii="Arial" w:hAnsi="Arial" w:cs="Arial"/>
          <w:bCs/>
          <w:iCs/>
        </w:rPr>
      </w:pPr>
    </w:p>
    <w:p w14:paraId="379A4960" w14:textId="77777777" w:rsidR="0011760E" w:rsidRPr="0011760E" w:rsidRDefault="0011760E" w:rsidP="0011760E">
      <w:pPr>
        <w:pStyle w:val="ListParagraph"/>
        <w:spacing w:line="276" w:lineRule="auto"/>
        <w:ind w:left="708"/>
        <w:jc w:val="both"/>
        <w:rPr>
          <w:rFonts w:ascii="Arial" w:hAnsi="Arial" w:cs="Arial"/>
          <w:bCs/>
          <w:iCs/>
        </w:rPr>
      </w:pPr>
      <w:r w:rsidRPr="0011760E">
        <w:rPr>
          <w:rFonts w:ascii="Arial" w:hAnsi="Arial" w:cs="Arial"/>
          <w:bCs/>
          <w:iCs/>
        </w:rPr>
        <w:t>1) podatnik dokonał dostawy na rzecz nabywcy posiadającego właściwy i ważny numer identyfikacyjny dla transakcji wewnątrzwspólnotowych, nadany przez państwo członkowskie właściwe dla nabywcy, zawierający dwuliterowy kod stosowany dla podatku od wartości dodanej;</w:t>
      </w:r>
    </w:p>
    <w:p w14:paraId="34FDC41D" w14:textId="77777777" w:rsidR="0011760E" w:rsidRPr="0011760E" w:rsidRDefault="0011760E" w:rsidP="0011760E">
      <w:pPr>
        <w:pStyle w:val="ListParagraph"/>
        <w:spacing w:line="276" w:lineRule="auto"/>
        <w:ind w:left="360"/>
        <w:jc w:val="both"/>
        <w:rPr>
          <w:rFonts w:ascii="Arial" w:hAnsi="Arial" w:cs="Arial"/>
          <w:bCs/>
          <w:iCs/>
        </w:rPr>
      </w:pPr>
    </w:p>
    <w:p w14:paraId="06595705" w14:textId="77777777" w:rsidR="0011760E" w:rsidRPr="0011760E" w:rsidRDefault="0011760E" w:rsidP="0011760E">
      <w:pPr>
        <w:pStyle w:val="ListParagraph"/>
        <w:spacing w:line="276" w:lineRule="auto"/>
        <w:ind w:left="708"/>
        <w:jc w:val="both"/>
        <w:rPr>
          <w:rFonts w:ascii="Arial" w:hAnsi="Arial" w:cs="Arial"/>
          <w:bCs/>
          <w:iCs/>
        </w:rPr>
      </w:pPr>
      <w:r w:rsidRPr="0011760E">
        <w:rPr>
          <w:rFonts w:ascii="Arial" w:hAnsi="Arial" w:cs="Arial"/>
          <w:bCs/>
          <w:iCs/>
        </w:rPr>
        <w:t>2) podatnik przed upływem terminu do złożenia deklaracji podatkowej za dany okres rozliczeniowy, posiada w swojej dokumentacji dowody, że towary będące przedmiotem wewnątrzwspólnotowej dostawy zostały wywiezione z terytorium kraju i dostarczone do nabywcy na terytorium państwa członkowskiego inne niż terytorium kraju;</w:t>
      </w:r>
    </w:p>
    <w:p w14:paraId="2C6BFD0F" w14:textId="77777777" w:rsidR="0011760E" w:rsidRPr="0011760E" w:rsidRDefault="0011760E" w:rsidP="0011760E">
      <w:pPr>
        <w:pStyle w:val="ListParagraph"/>
        <w:spacing w:line="276" w:lineRule="auto"/>
        <w:ind w:left="360"/>
        <w:jc w:val="both"/>
        <w:rPr>
          <w:rFonts w:ascii="Arial" w:hAnsi="Arial" w:cs="Arial"/>
          <w:bCs/>
          <w:iCs/>
        </w:rPr>
      </w:pPr>
    </w:p>
    <w:p w14:paraId="45D802AA" w14:textId="77777777" w:rsidR="0011760E" w:rsidRPr="0011760E" w:rsidRDefault="0011760E" w:rsidP="0011760E">
      <w:pPr>
        <w:pStyle w:val="ListParagraph"/>
        <w:spacing w:line="276" w:lineRule="auto"/>
        <w:ind w:left="708"/>
        <w:jc w:val="both"/>
        <w:rPr>
          <w:rFonts w:ascii="Arial" w:hAnsi="Arial" w:cs="Arial"/>
          <w:bCs/>
          <w:iCs/>
        </w:rPr>
      </w:pPr>
      <w:r w:rsidRPr="0011760E">
        <w:rPr>
          <w:rFonts w:ascii="Arial" w:hAnsi="Arial" w:cs="Arial"/>
          <w:bCs/>
          <w:iCs/>
        </w:rPr>
        <w:t>3) podatnik składając deklarację podatkową, w której wykazuje tę dostawę towarów, jest zarejestrowany jako podatnik VAT UE.</w:t>
      </w:r>
    </w:p>
    <w:p w14:paraId="0AEB01E9" w14:textId="77777777" w:rsidR="0011760E" w:rsidRPr="0011760E" w:rsidRDefault="0011760E" w:rsidP="0011760E">
      <w:pPr>
        <w:pStyle w:val="ListParagraph"/>
        <w:spacing w:line="276" w:lineRule="auto"/>
        <w:ind w:left="360"/>
        <w:jc w:val="both"/>
        <w:rPr>
          <w:rFonts w:ascii="Arial" w:hAnsi="Arial" w:cs="Arial"/>
          <w:bCs/>
          <w:iCs/>
        </w:rPr>
      </w:pPr>
    </w:p>
    <w:p w14:paraId="74B50C6D" w14:textId="77777777" w:rsidR="0011760E" w:rsidRPr="0011760E" w:rsidRDefault="0011760E" w:rsidP="0011760E">
      <w:pPr>
        <w:pStyle w:val="Heading2"/>
        <w:spacing w:line="276" w:lineRule="auto"/>
        <w:ind w:left="360" w:firstLine="348"/>
        <w:jc w:val="both"/>
        <w:rPr>
          <w:rFonts w:ascii="Arial" w:hAnsi="Arial" w:cs="Arial"/>
          <w:bCs/>
          <w:iCs/>
          <w:color w:val="auto"/>
          <w:sz w:val="22"/>
          <w:szCs w:val="22"/>
          <w:lang w:val="en-US"/>
        </w:rPr>
      </w:pPr>
      <w:r w:rsidRPr="0011760E">
        <w:rPr>
          <w:rFonts w:ascii="Arial" w:hAnsi="Arial" w:cs="Arial"/>
          <w:bCs/>
          <w:iCs/>
          <w:color w:val="auto"/>
          <w:sz w:val="22"/>
          <w:szCs w:val="22"/>
          <w:lang w:val="en-US"/>
        </w:rPr>
        <w:t>Draft Law</w:t>
      </w:r>
    </w:p>
    <w:p w14:paraId="60AAA80F"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0% VAT rate may be applied to the ICS under following conditions:</w:t>
      </w:r>
    </w:p>
    <w:p w14:paraId="0DFE2809" w14:textId="77777777" w:rsidR="0011760E" w:rsidRPr="0011760E" w:rsidRDefault="0011760E" w:rsidP="0011760E">
      <w:pPr>
        <w:spacing w:line="276" w:lineRule="auto"/>
        <w:ind w:left="708"/>
        <w:jc w:val="both"/>
        <w:rPr>
          <w:rFonts w:ascii="Arial" w:hAnsi="Arial" w:cs="Arial"/>
          <w:bCs/>
          <w:iCs/>
        </w:rPr>
      </w:pPr>
    </w:p>
    <w:p w14:paraId="6A5299EA" w14:textId="77777777" w:rsidR="0011760E" w:rsidRPr="0011760E" w:rsidRDefault="0011760E" w:rsidP="0011760E">
      <w:pPr>
        <w:pStyle w:val="ListParagraph"/>
        <w:numPr>
          <w:ilvl w:val="0"/>
          <w:numId w:val="7"/>
        </w:numPr>
        <w:spacing w:line="276" w:lineRule="auto"/>
        <w:jc w:val="both"/>
        <w:rPr>
          <w:rFonts w:ascii="Arial" w:hAnsi="Arial" w:cs="Arial"/>
          <w:bCs/>
          <w:iCs/>
          <w:lang w:val="en-US"/>
        </w:rPr>
      </w:pPr>
      <w:r w:rsidRPr="0011760E">
        <w:rPr>
          <w:rFonts w:ascii="Arial" w:hAnsi="Arial" w:cs="Arial"/>
          <w:bCs/>
          <w:iCs/>
          <w:lang w:val="en-US"/>
        </w:rPr>
        <w:t>The buyer for whom the delivery is made should be registered for VAT purposes in a Member State and indicate the supplier's active EU number.</w:t>
      </w:r>
    </w:p>
    <w:p w14:paraId="7DE78C22" w14:textId="77777777" w:rsidR="0011760E" w:rsidRPr="0011760E" w:rsidRDefault="0011760E" w:rsidP="0011760E">
      <w:pPr>
        <w:spacing w:line="276" w:lineRule="auto"/>
        <w:ind w:left="360" w:firstLine="348"/>
        <w:jc w:val="both"/>
        <w:rPr>
          <w:rFonts w:ascii="Arial" w:hAnsi="Arial" w:cs="Arial"/>
          <w:bCs/>
          <w:iCs/>
        </w:rPr>
      </w:pPr>
    </w:p>
    <w:p w14:paraId="36F7E44C" w14:textId="77777777" w:rsidR="0011760E" w:rsidRPr="0011760E" w:rsidRDefault="0011760E" w:rsidP="0011760E">
      <w:pPr>
        <w:pStyle w:val="ListParagraph"/>
        <w:numPr>
          <w:ilvl w:val="0"/>
          <w:numId w:val="7"/>
        </w:numPr>
        <w:spacing w:line="276" w:lineRule="auto"/>
        <w:jc w:val="both"/>
        <w:rPr>
          <w:rFonts w:ascii="Arial" w:hAnsi="Arial" w:cs="Arial"/>
          <w:bCs/>
          <w:iCs/>
          <w:lang w:val="en-US"/>
        </w:rPr>
      </w:pPr>
      <w:r w:rsidRPr="0011760E">
        <w:rPr>
          <w:rFonts w:ascii="Arial" w:hAnsi="Arial" w:cs="Arial"/>
          <w:bCs/>
          <w:iCs/>
          <w:lang w:val="en-US"/>
        </w:rPr>
        <w:t>It will not be possible to apply a 0% rate if:</w:t>
      </w:r>
    </w:p>
    <w:p w14:paraId="5EFDF978" w14:textId="77777777" w:rsidR="0011760E" w:rsidRPr="0011760E" w:rsidRDefault="0011760E" w:rsidP="0011760E">
      <w:pPr>
        <w:pStyle w:val="ListParagraph"/>
        <w:numPr>
          <w:ilvl w:val="0"/>
          <w:numId w:val="2"/>
        </w:numPr>
        <w:spacing w:line="276" w:lineRule="auto"/>
        <w:jc w:val="both"/>
        <w:rPr>
          <w:rFonts w:ascii="Arial" w:hAnsi="Arial" w:cs="Arial"/>
          <w:bCs/>
          <w:iCs/>
          <w:lang w:val="en-US"/>
        </w:rPr>
      </w:pPr>
      <w:r w:rsidRPr="0011760E">
        <w:rPr>
          <w:rFonts w:ascii="Arial" w:hAnsi="Arial" w:cs="Arial"/>
          <w:bCs/>
          <w:iCs/>
          <w:lang w:val="en-US"/>
        </w:rPr>
        <w:t>the supplier fails to comply with the summary information, or</w:t>
      </w:r>
    </w:p>
    <w:p w14:paraId="505863D5" w14:textId="77777777" w:rsidR="0011760E" w:rsidRPr="0011760E" w:rsidRDefault="0011760E" w:rsidP="0011760E">
      <w:pPr>
        <w:pStyle w:val="ListParagraph"/>
        <w:numPr>
          <w:ilvl w:val="0"/>
          <w:numId w:val="2"/>
        </w:numPr>
        <w:spacing w:line="276" w:lineRule="auto"/>
        <w:jc w:val="both"/>
        <w:rPr>
          <w:rFonts w:ascii="Arial" w:hAnsi="Arial" w:cs="Arial"/>
          <w:bCs/>
          <w:iCs/>
          <w:lang w:val="en-US"/>
        </w:rPr>
      </w:pPr>
      <w:r w:rsidRPr="0011760E">
        <w:rPr>
          <w:rFonts w:ascii="Arial" w:hAnsi="Arial" w:cs="Arial"/>
          <w:bCs/>
          <w:iCs/>
          <w:lang w:val="en-US"/>
        </w:rPr>
        <w:t>ECSL contains errors regarding intra-Community transactions, unless the supplier "duly" explains these errors to the competent authorities in paper.</w:t>
      </w:r>
    </w:p>
    <w:p w14:paraId="69FACA27" w14:textId="77777777" w:rsidR="0011760E" w:rsidRPr="0011760E" w:rsidRDefault="0011760E" w:rsidP="0011760E">
      <w:pPr>
        <w:spacing w:line="276" w:lineRule="auto"/>
        <w:jc w:val="both"/>
        <w:rPr>
          <w:rFonts w:ascii="Arial" w:hAnsi="Arial" w:cs="Arial"/>
          <w:bCs/>
          <w:iCs/>
        </w:rPr>
      </w:pPr>
    </w:p>
    <w:p w14:paraId="552A29F6" w14:textId="77777777" w:rsidR="0011760E" w:rsidRPr="0011760E" w:rsidRDefault="0011760E" w:rsidP="0011760E">
      <w:pPr>
        <w:pStyle w:val="ListParagraph"/>
        <w:numPr>
          <w:ilvl w:val="0"/>
          <w:numId w:val="8"/>
        </w:numPr>
        <w:spacing w:line="276" w:lineRule="auto"/>
        <w:jc w:val="both"/>
        <w:rPr>
          <w:rFonts w:ascii="Arial" w:hAnsi="Arial" w:cs="Arial"/>
          <w:bCs/>
          <w:iCs/>
          <w:lang w:val="en-US"/>
        </w:rPr>
      </w:pPr>
      <w:r w:rsidRPr="0011760E">
        <w:rPr>
          <w:rFonts w:ascii="Arial" w:hAnsi="Arial" w:cs="Arial"/>
          <w:bCs/>
          <w:iCs/>
          <w:lang w:val="en-US"/>
        </w:rPr>
        <w:t xml:space="preserve">Before the submission of the tax returns for the relevant month, the taxpayer is in possession of the proofs that the goods have been dispatched from the territory of the Member State and delivered to the contractor in </w:t>
      </w:r>
      <w:proofErr w:type="gramStart"/>
      <w:r w:rsidRPr="0011760E">
        <w:rPr>
          <w:rFonts w:ascii="Arial" w:hAnsi="Arial" w:cs="Arial"/>
          <w:bCs/>
          <w:iCs/>
          <w:lang w:val="en-US"/>
        </w:rPr>
        <w:t>other</w:t>
      </w:r>
      <w:proofErr w:type="gramEnd"/>
      <w:r w:rsidRPr="0011760E">
        <w:rPr>
          <w:rFonts w:ascii="Arial" w:hAnsi="Arial" w:cs="Arial"/>
          <w:bCs/>
          <w:iCs/>
          <w:lang w:val="en-US"/>
        </w:rPr>
        <w:t xml:space="preserve"> Member State.</w:t>
      </w:r>
    </w:p>
    <w:p w14:paraId="4D989C81" w14:textId="77777777" w:rsidR="0011760E" w:rsidRPr="0011760E" w:rsidRDefault="0011760E" w:rsidP="0011760E">
      <w:pPr>
        <w:pStyle w:val="ListParagraph"/>
        <w:numPr>
          <w:ilvl w:val="0"/>
          <w:numId w:val="8"/>
        </w:numPr>
        <w:spacing w:line="276" w:lineRule="auto"/>
        <w:jc w:val="both"/>
        <w:rPr>
          <w:rFonts w:ascii="Arial" w:hAnsi="Arial" w:cs="Arial"/>
          <w:bCs/>
          <w:iCs/>
          <w:lang w:val="en-US"/>
        </w:rPr>
      </w:pPr>
      <w:r w:rsidRPr="0011760E">
        <w:rPr>
          <w:rFonts w:ascii="Arial" w:hAnsi="Arial" w:cs="Arial"/>
          <w:bCs/>
          <w:iCs/>
          <w:lang w:val="en-US"/>
        </w:rPr>
        <w:t xml:space="preserve">At the moment of submission of the tax returns for the relevant month the taxpayer is register as EU VAT taxpayer. </w:t>
      </w:r>
    </w:p>
    <w:p w14:paraId="72B8EE68" w14:textId="77777777" w:rsidR="0011760E" w:rsidRPr="0011760E" w:rsidRDefault="0011760E" w:rsidP="0011760E">
      <w:pPr>
        <w:spacing w:line="276" w:lineRule="auto"/>
        <w:ind w:left="1080"/>
        <w:jc w:val="both"/>
        <w:rPr>
          <w:rFonts w:ascii="Arial" w:hAnsi="Arial" w:cs="Arial"/>
          <w:bCs/>
          <w:iCs/>
        </w:rPr>
      </w:pPr>
    </w:p>
    <w:p w14:paraId="3B9EFB0D" w14:textId="77777777" w:rsidR="0011760E" w:rsidRPr="0011760E" w:rsidRDefault="0011760E" w:rsidP="0011760E">
      <w:pPr>
        <w:spacing w:line="276" w:lineRule="auto"/>
        <w:jc w:val="both"/>
        <w:rPr>
          <w:rFonts w:ascii="Arial" w:hAnsi="Arial" w:cs="Arial"/>
          <w:bCs/>
          <w:iCs/>
        </w:rPr>
      </w:pPr>
    </w:p>
    <w:p w14:paraId="5D11F185"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 xml:space="preserve">Text of the draft VAT Law (available in Polish version only)  </w:t>
      </w:r>
    </w:p>
    <w:p w14:paraId="146B6651" w14:textId="77777777" w:rsidR="0011760E" w:rsidRPr="0011760E" w:rsidRDefault="0011760E" w:rsidP="0011760E">
      <w:pPr>
        <w:pStyle w:val="Heading3"/>
        <w:spacing w:line="276" w:lineRule="auto"/>
        <w:ind w:firstLine="708"/>
        <w:jc w:val="both"/>
        <w:rPr>
          <w:rFonts w:ascii="Arial" w:hAnsi="Arial" w:cs="Arial"/>
          <w:bCs/>
          <w:iCs/>
          <w:color w:val="auto"/>
          <w:sz w:val="22"/>
          <w:szCs w:val="22"/>
          <w:lang w:val="en-US"/>
        </w:rPr>
      </w:pPr>
    </w:p>
    <w:p w14:paraId="7740F396" w14:textId="77777777" w:rsidR="0011760E" w:rsidRPr="0011760E" w:rsidRDefault="0011760E" w:rsidP="0011760E">
      <w:pPr>
        <w:pStyle w:val="Heading3"/>
        <w:spacing w:line="276" w:lineRule="auto"/>
        <w:ind w:firstLine="708"/>
        <w:jc w:val="both"/>
        <w:rPr>
          <w:rFonts w:ascii="Arial" w:hAnsi="Arial" w:cs="Arial"/>
          <w:bCs/>
          <w:iCs/>
          <w:color w:val="auto"/>
          <w:sz w:val="22"/>
          <w:szCs w:val="22"/>
          <w:lang w:val="en-GB"/>
        </w:rPr>
      </w:pPr>
      <w:r w:rsidRPr="0011760E">
        <w:rPr>
          <w:rFonts w:ascii="Arial" w:hAnsi="Arial" w:cs="Arial"/>
          <w:bCs/>
          <w:iCs/>
          <w:color w:val="auto"/>
          <w:sz w:val="22"/>
          <w:szCs w:val="22"/>
          <w:lang w:val="en-GB"/>
        </w:rPr>
        <w:t xml:space="preserve">Art. 42 of the Polish VAT Act </w:t>
      </w:r>
    </w:p>
    <w:p w14:paraId="11CDAA3F" w14:textId="77777777" w:rsidR="0011760E" w:rsidRPr="0011760E" w:rsidRDefault="0011760E" w:rsidP="0011760E">
      <w:pPr>
        <w:rPr>
          <w:rFonts w:ascii="Arial" w:hAnsi="Arial" w:cs="Arial"/>
          <w:bCs/>
          <w:iCs/>
          <w:lang w:val="en-GB"/>
        </w:rPr>
      </w:pPr>
    </w:p>
    <w:p w14:paraId="1A08E3F8"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1.  Wewnątrzwspólnotowa dostawa towarów podlega opodatkowaniu według stawki podatku 0%, pod warunkiem że:</w:t>
      </w:r>
    </w:p>
    <w:p w14:paraId="621E5398" w14:textId="77777777" w:rsidR="0011760E" w:rsidRPr="0011760E" w:rsidRDefault="0011760E" w:rsidP="0011760E">
      <w:pPr>
        <w:spacing w:line="276" w:lineRule="auto"/>
        <w:ind w:left="708" w:firstLine="708"/>
        <w:jc w:val="both"/>
        <w:rPr>
          <w:rFonts w:ascii="Arial" w:hAnsi="Arial" w:cs="Arial"/>
          <w:bCs/>
          <w:iCs/>
        </w:rPr>
      </w:pPr>
      <w:r w:rsidRPr="0011760E">
        <w:rPr>
          <w:rFonts w:ascii="Arial" w:hAnsi="Arial" w:cs="Arial"/>
          <w:bCs/>
          <w:iCs/>
        </w:rPr>
        <w:t xml:space="preserve">1) podatnik dokonał dostawy na rzecz nabywcy posiadającego właściwy i ważny numer identyfikacyjny dla transakcji wewnątrzwspólnotowych, nadany przez państwo członkowskie </w:t>
      </w:r>
      <w:r w:rsidRPr="0011760E">
        <w:rPr>
          <w:rFonts w:ascii="Arial" w:hAnsi="Arial" w:cs="Arial"/>
          <w:bCs/>
          <w:iCs/>
        </w:rPr>
        <w:lastRenderedPageBreak/>
        <w:t>właściwe dla nabywcy, zawierający dwuliterowy kod stosowany dla podatku od wartości dodanej który nabywca podał podatnikowi;</w:t>
      </w:r>
    </w:p>
    <w:p w14:paraId="4079D864" w14:textId="77777777" w:rsidR="0011760E" w:rsidRPr="0011760E" w:rsidRDefault="0011760E" w:rsidP="0011760E">
      <w:pPr>
        <w:spacing w:line="276" w:lineRule="auto"/>
        <w:ind w:left="360" w:firstLine="708"/>
        <w:jc w:val="both"/>
        <w:rPr>
          <w:rFonts w:ascii="Arial" w:hAnsi="Arial" w:cs="Arial"/>
          <w:bCs/>
          <w:iCs/>
        </w:rPr>
      </w:pPr>
      <w:r w:rsidRPr="0011760E">
        <w:rPr>
          <w:rFonts w:ascii="Arial" w:hAnsi="Arial" w:cs="Arial"/>
          <w:bCs/>
          <w:iCs/>
        </w:rPr>
        <w:t>1a) Stawka podatku, o której mowa w ust. 1, nie ma zastosowania, jeżeli:</w:t>
      </w:r>
    </w:p>
    <w:p w14:paraId="1D6F5CEE" w14:textId="77777777" w:rsidR="0011760E" w:rsidRPr="0011760E" w:rsidRDefault="0011760E" w:rsidP="0011760E">
      <w:pPr>
        <w:pStyle w:val="ListParagraph"/>
        <w:numPr>
          <w:ilvl w:val="0"/>
          <w:numId w:val="3"/>
        </w:numPr>
        <w:spacing w:line="276" w:lineRule="auto"/>
        <w:jc w:val="both"/>
        <w:rPr>
          <w:rFonts w:ascii="Arial" w:hAnsi="Arial" w:cs="Arial"/>
          <w:bCs/>
          <w:iCs/>
        </w:rPr>
      </w:pPr>
      <w:r w:rsidRPr="0011760E">
        <w:rPr>
          <w:rFonts w:ascii="Arial" w:hAnsi="Arial" w:cs="Arial"/>
          <w:bCs/>
          <w:iCs/>
        </w:rPr>
        <w:t>podatnik nie dopełnił obowiązku, o którym mowa w art. 100 ust. 1 pkt 1 lub ust. 3 pkt 1, lub</w:t>
      </w:r>
    </w:p>
    <w:p w14:paraId="544CDFD1" w14:textId="77777777" w:rsidR="0011760E" w:rsidRPr="0011760E" w:rsidRDefault="0011760E" w:rsidP="0011760E">
      <w:pPr>
        <w:pStyle w:val="ListParagraph"/>
        <w:numPr>
          <w:ilvl w:val="0"/>
          <w:numId w:val="3"/>
        </w:numPr>
        <w:spacing w:line="276" w:lineRule="auto"/>
        <w:jc w:val="both"/>
        <w:rPr>
          <w:rFonts w:ascii="Arial" w:hAnsi="Arial" w:cs="Arial"/>
          <w:bCs/>
          <w:iCs/>
        </w:rPr>
      </w:pPr>
      <w:r w:rsidRPr="0011760E">
        <w:rPr>
          <w:rFonts w:ascii="Arial" w:hAnsi="Arial" w:cs="Arial"/>
          <w:bCs/>
          <w:iCs/>
        </w:rPr>
        <w:t>złożona informacja podsumowująca nie zawiera prawidłowych informacji dotyczących wewnątrzwspólnotowych dostaw towarów zgodnie z wymogami, o których mowa w art. 100 ust. 8 – chyba że podatnik należycie pisemnie wyjaśnił uchybienie naczelnikowi urzędu skarbowego.</w:t>
      </w:r>
    </w:p>
    <w:p w14:paraId="24332819" w14:textId="77777777" w:rsidR="0011760E" w:rsidRPr="0011760E" w:rsidRDefault="0011760E" w:rsidP="0011760E">
      <w:pPr>
        <w:spacing w:line="276" w:lineRule="auto"/>
        <w:jc w:val="both"/>
        <w:rPr>
          <w:rFonts w:ascii="Arial" w:hAnsi="Arial" w:cs="Arial"/>
          <w:bCs/>
          <w:iCs/>
        </w:rPr>
      </w:pPr>
    </w:p>
    <w:p w14:paraId="59961262" w14:textId="77777777" w:rsidR="0011760E" w:rsidRPr="0011760E" w:rsidRDefault="0011760E" w:rsidP="0011760E">
      <w:pPr>
        <w:spacing w:line="276" w:lineRule="auto"/>
        <w:ind w:left="1068"/>
        <w:jc w:val="both"/>
        <w:rPr>
          <w:rFonts w:ascii="Arial" w:hAnsi="Arial" w:cs="Arial"/>
          <w:bCs/>
          <w:iCs/>
        </w:rPr>
      </w:pPr>
      <w:r w:rsidRPr="0011760E">
        <w:rPr>
          <w:rFonts w:ascii="Arial" w:hAnsi="Arial" w:cs="Arial"/>
          <w:bCs/>
          <w:iCs/>
        </w:rPr>
        <w:t>2) podatnik przed upływem terminu do złożenia deklaracji podatkowej za dany okres rozliczeniowy, posiada w swojej dokumentacji dowody, że towary będące przedmiotem wewnątrzwspólnotowej dostawy zostały wywiezione z terytorium kraju i dostarczone do nabywcy na terytorium państwa członkowskiego inne niż terytorium kraju;</w:t>
      </w:r>
    </w:p>
    <w:p w14:paraId="6D4C287E" w14:textId="77777777" w:rsidR="0011760E" w:rsidRPr="0011760E" w:rsidRDefault="0011760E" w:rsidP="0011760E">
      <w:pPr>
        <w:spacing w:line="276" w:lineRule="auto"/>
        <w:jc w:val="both"/>
        <w:rPr>
          <w:rFonts w:ascii="Arial" w:hAnsi="Arial" w:cs="Arial"/>
          <w:bCs/>
          <w:iCs/>
        </w:rPr>
      </w:pPr>
      <w:r w:rsidRPr="0011760E">
        <w:rPr>
          <w:rFonts w:ascii="Arial" w:hAnsi="Arial" w:cs="Arial"/>
          <w:bCs/>
          <w:iCs/>
        </w:rPr>
        <w:tab/>
      </w:r>
    </w:p>
    <w:p w14:paraId="1DBA6362" w14:textId="77777777" w:rsidR="0011760E" w:rsidRPr="0011760E" w:rsidRDefault="0011760E" w:rsidP="0011760E">
      <w:pPr>
        <w:spacing w:line="276" w:lineRule="auto"/>
        <w:ind w:left="1068"/>
        <w:jc w:val="both"/>
        <w:rPr>
          <w:rFonts w:ascii="Arial" w:hAnsi="Arial" w:cs="Arial"/>
          <w:bCs/>
          <w:iCs/>
        </w:rPr>
      </w:pPr>
      <w:r w:rsidRPr="0011760E">
        <w:rPr>
          <w:rFonts w:ascii="Arial" w:hAnsi="Arial" w:cs="Arial"/>
          <w:bCs/>
          <w:iCs/>
        </w:rPr>
        <w:t>3) podatnik składając deklarację podatkową, w której wykazuje tę dostawę towarów, jest zarejestrowany jako podatnik VAT UE.</w:t>
      </w:r>
    </w:p>
    <w:p w14:paraId="128378F3" w14:textId="77777777" w:rsidR="0011760E" w:rsidRPr="0011760E" w:rsidRDefault="0011760E" w:rsidP="0011760E">
      <w:pPr>
        <w:spacing w:line="276" w:lineRule="auto"/>
        <w:jc w:val="both"/>
        <w:rPr>
          <w:rFonts w:ascii="Arial" w:hAnsi="Arial" w:cs="Arial"/>
          <w:bCs/>
          <w:iCs/>
        </w:rPr>
      </w:pPr>
    </w:p>
    <w:p w14:paraId="58C3CDA7" w14:textId="77777777" w:rsidR="0011760E" w:rsidRPr="0011760E" w:rsidRDefault="0011760E" w:rsidP="0011760E">
      <w:pPr>
        <w:pStyle w:val="Heading1"/>
        <w:ind w:firstLine="708"/>
        <w:rPr>
          <w:rFonts w:ascii="Arial" w:hAnsi="Arial" w:cs="Arial"/>
          <w:bCs/>
          <w:iCs/>
          <w:sz w:val="24"/>
          <w:szCs w:val="24"/>
          <w:lang w:val="en-GB"/>
        </w:rPr>
      </w:pPr>
      <w:r w:rsidRPr="0011760E">
        <w:rPr>
          <w:rFonts w:ascii="Arial" w:hAnsi="Arial" w:cs="Arial"/>
          <w:bCs/>
          <w:iCs/>
          <w:color w:val="auto"/>
          <w:sz w:val="24"/>
          <w:szCs w:val="24"/>
          <w:lang w:val="en-GB"/>
        </w:rPr>
        <w:t xml:space="preserve">6.Other relevant information  </w:t>
      </w:r>
    </w:p>
    <w:p w14:paraId="6AB57587" w14:textId="77777777" w:rsidR="0011760E" w:rsidRPr="0011760E" w:rsidRDefault="0011760E" w:rsidP="0011760E">
      <w:pPr>
        <w:rPr>
          <w:rFonts w:ascii="Arial" w:hAnsi="Arial" w:cs="Arial"/>
          <w:bCs/>
          <w:iCs/>
          <w:lang w:val="en-GB"/>
        </w:rPr>
      </w:pPr>
    </w:p>
    <w:p w14:paraId="4E6AB188" w14:textId="77777777" w:rsidR="0011760E" w:rsidRPr="0011760E" w:rsidRDefault="0011760E" w:rsidP="0011760E">
      <w:pPr>
        <w:spacing w:line="276" w:lineRule="auto"/>
        <w:ind w:left="708"/>
        <w:jc w:val="both"/>
        <w:rPr>
          <w:rFonts w:ascii="Arial" w:hAnsi="Arial" w:cs="Arial"/>
          <w:bCs/>
          <w:iCs/>
        </w:rPr>
      </w:pPr>
      <w:r w:rsidRPr="0011760E">
        <w:rPr>
          <w:rFonts w:ascii="Arial" w:hAnsi="Arial" w:cs="Arial"/>
          <w:bCs/>
          <w:iCs/>
        </w:rPr>
        <w:t>For the time being, no guidelines from the tax authorities with detailed information or examples to the new regulations are published but expected to come into force by end of the year.</w:t>
      </w:r>
    </w:p>
    <w:p w14:paraId="19BAFA04" w14:textId="77777777" w:rsidR="0011760E" w:rsidRPr="0011760E" w:rsidRDefault="0011760E">
      <w:pPr>
        <w:rPr>
          <w:bCs/>
          <w:iCs/>
          <w:lang w:val="en-GB"/>
        </w:rPr>
      </w:pPr>
    </w:p>
    <w:sectPr w:rsidR="0011760E" w:rsidRPr="0011760E" w:rsidSect="00825F09">
      <w:headerReference w:type="even" r:id="rId8"/>
      <w:headerReference w:type="default" r:id="rId9"/>
      <w:footerReference w:type="even" r:id="rId10"/>
      <w:footerReference w:type="default" r:id="rId11"/>
      <w:headerReference w:type="first" r:id="rId12"/>
      <w:footerReference w:type="first" r:id="rId13"/>
      <w:pgSz w:w="11900" w:h="16840"/>
      <w:pgMar w:top="2552"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A797" w14:textId="77777777" w:rsidR="00A953EE" w:rsidRDefault="00A953EE" w:rsidP="00D460F4">
      <w:r>
        <w:separator/>
      </w:r>
    </w:p>
  </w:endnote>
  <w:endnote w:type="continuationSeparator" w:id="0">
    <w:p w14:paraId="3F7AFFE4" w14:textId="77777777" w:rsidR="00A953EE" w:rsidRDefault="00A953EE" w:rsidP="00D4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2FC6" w14:textId="77777777" w:rsidR="003E320C" w:rsidRDefault="003E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0EB8" w14:textId="77777777" w:rsidR="007B70F9" w:rsidRDefault="007B70F9">
    <w:pPr>
      <w:pStyle w:val="Footer"/>
    </w:pPr>
    <w:r>
      <w:rPr>
        <w:noProof/>
        <w:lang w:val="en-GB" w:eastAsia="en-GB"/>
      </w:rPr>
      <w:drawing>
        <wp:inline distT="0" distB="0" distL="0" distR="0" wp14:anchorId="6DF8715E" wp14:editId="6F221C61">
          <wp:extent cx="2877312" cy="240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jpg"/>
                  <pic:cNvPicPr/>
                </pic:nvPicPr>
                <pic:blipFill>
                  <a:blip r:embed="rId1">
                    <a:extLst>
                      <a:ext uri="{28A0092B-C50C-407E-A947-70E740481C1C}">
                        <a14:useLocalDpi xmlns:a14="http://schemas.microsoft.com/office/drawing/2010/main" val="0"/>
                      </a:ext>
                    </a:extLst>
                  </a:blip>
                  <a:stretch>
                    <a:fillRect/>
                  </a:stretch>
                </pic:blipFill>
                <pic:spPr>
                  <a:xfrm>
                    <a:off x="0" y="0"/>
                    <a:ext cx="2877312" cy="24079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1B03" w14:textId="77777777" w:rsidR="003E320C" w:rsidRDefault="003E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062F" w14:textId="77777777" w:rsidR="00A953EE" w:rsidRDefault="00A953EE" w:rsidP="00D460F4">
      <w:r>
        <w:separator/>
      </w:r>
    </w:p>
  </w:footnote>
  <w:footnote w:type="continuationSeparator" w:id="0">
    <w:p w14:paraId="16A53FF8" w14:textId="77777777" w:rsidR="00A953EE" w:rsidRDefault="00A953EE" w:rsidP="00D4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CDCA" w14:textId="77777777" w:rsidR="003E320C" w:rsidRDefault="003E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C838" w14:textId="77777777" w:rsidR="00D460F4" w:rsidRDefault="00757451">
    <w:pPr>
      <w:pStyle w:val="Header"/>
    </w:pPr>
    <w:r>
      <w:rPr>
        <w:noProof/>
        <w:lang w:val="en-GB" w:eastAsia="en-GB"/>
      </w:rPr>
      <w:drawing>
        <wp:inline distT="0" distB="0" distL="0" distR="0" wp14:anchorId="5D95A782" wp14:editId="514816C5">
          <wp:extent cx="2164080" cy="35356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and_logo.jpg"/>
                  <pic:cNvPicPr/>
                </pic:nvPicPr>
                <pic:blipFill>
                  <a:blip r:embed="rId1">
                    <a:extLst>
                      <a:ext uri="{28A0092B-C50C-407E-A947-70E740481C1C}">
                        <a14:useLocalDpi xmlns:a14="http://schemas.microsoft.com/office/drawing/2010/main" val="0"/>
                      </a:ext>
                    </a:extLst>
                  </a:blip>
                  <a:stretch>
                    <a:fillRect/>
                  </a:stretch>
                </pic:blipFill>
                <pic:spPr>
                  <a:xfrm>
                    <a:off x="0" y="0"/>
                    <a:ext cx="2164080" cy="353568"/>
                  </a:xfrm>
                  <a:prstGeom prst="rect">
                    <a:avLst/>
                  </a:prstGeom>
                </pic:spPr>
              </pic:pic>
            </a:graphicData>
          </a:graphic>
        </wp:inline>
      </w:drawing>
    </w:r>
    <w:r w:rsidR="00D460F4">
      <w:rPr>
        <w:noProof/>
        <w:lang w:val="en-GB" w:eastAsia="en-GB"/>
      </w:rPr>
      <w:drawing>
        <wp:anchor distT="0" distB="0" distL="114300" distR="114300" simplePos="0" relativeHeight="251658240" behindDoc="0" locked="0" layoutInCell="1" allowOverlap="1" wp14:anchorId="559E56A9" wp14:editId="366F7C18">
          <wp:simplePos x="0" y="0"/>
          <wp:positionH relativeFrom="column">
            <wp:posOffset>5524500</wp:posOffset>
          </wp:positionH>
          <wp:positionV relativeFrom="paragraph">
            <wp:posOffset>-363693</wp:posOffset>
          </wp:positionV>
          <wp:extent cx="1676400" cy="14599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jpg"/>
                  <pic:cNvPicPr/>
                </pic:nvPicPr>
                <pic:blipFill>
                  <a:blip r:embed="rId2">
                    <a:extLst>
                      <a:ext uri="{28A0092B-C50C-407E-A947-70E740481C1C}">
                        <a14:useLocalDpi xmlns:a14="http://schemas.microsoft.com/office/drawing/2010/main" val="0"/>
                      </a:ext>
                    </a:extLst>
                  </a:blip>
                  <a:stretch>
                    <a:fillRect/>
                  </a:stretch>
                </pic:blipFill>
                <pic:spPr>
                  <a:xfrm>
                    <a:off x="0" y="0"/>
                    <a:ext cx="1676400" cy="14599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6043" w14:textId="77777777" w:rsidR="003E320C" w:rsidRDefault="003E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0BB"/>
    <w:multiLevelType w:val="hybridMultilevel"/>
    <w:tmpl w:val="2CF4F9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5B3138"/>
    <w:multiLevelType w:val="hybridMultilevel"/>
    <w:tmpl w:val="EE364DD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06D1CC3"/>
    <w:multiLevelType w:val="hybridMultilevel"/>
    <w:tmpl w:val="2C02C0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8915F94"/>
    <w:multiLevelType w:val="hybridMultilevel"/>
    <w:tmpl w:val="AD4CB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A47A89"/>
    <w:multiLevelType w:val="hybridMultilevel"/>
    <w:tmpl w:val="4E36CA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4AD356CB"/>
    <w:multiLevelType w:val="hybridMultilevel"/>
    <w:tmpl w:val="6E38B5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5A000A83"/>
    <w:multiLevelType w:val="hybridMultilevel"/>
    <w:tmpl w:val="A58C63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913F88"/>
    <w:multiLevelType w:val="hybridMultilevel"/>
    <w:tmpl w:val="EE34079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F4"/>
    <w:rsid w:val="000632E9"/>
    <w:rsid w:val="0011760E"/>
    <w:rsid w:val="002F14D6"/>
    <w:rsid w:val="003476D0"/>
    <w:rsid w:val="0039488B"/>
    <w:rsid w:val="003E320C"/>
    <w:rsid w:val="00757451"/>
    <w:rsid w:val="007B70F9"/>
    <w:rsid w:val="00825F09"/>
    <w:rsid w:val="00914477"/>
    <w:rsid w:val="00A953EE"/>
    <w:rsid w:val="00C94B39"/>
    <w:rsid w:val="00D460F4"/>
    <w:rsid w:val="00D91F9E"/>
    <w:rsid w:val="00D97848"/>
    <w:rsid w:val="00FB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86EB4"/>
  <w14:defaultImageDpi w14:val="300"/>
  <w15:docId w15:val="{E5FD49B4-8BD9-5A48-A229-D30F22E0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0E"/>
    <w:pPr>
      <w:keepNext/>
      <w:keepLines/>
      <w:spacing w:before="240"/>
      <w:outlineLvl w:val="0"/>
    </w:pPr>
    <w:rPr>
      <w:rFonts w:asciiTheme="majorHAnsi" w:eastAsiaTheme="majorEastAsia" w:hAnsiTheme="majorHAnsi" w:cstheme="majorBidi"/>
      <w:color w:val="365F91" w:themeColor="accent1" w:themeShade="BF"/>
      <w:sz w:val="32"/>
      <w:szCs w:val="32"/>
      <w:lang w:val="pl-PL"/>
    </w:rPr>
  </w:style>
  <w:style w:type="paragraph" w:styleId="Heading2">
    <w:name w:val="heading 2"/>
    <w:basedOn w:val="Normal"/>
    <w:next w:val="Normal"/>
    <w:link w:val="Heading2Char"/>
    <w:uiPriority w:val="9"/>
    <w:unhideWhenUsed/>
    <w:qFormat/>
    <w:rsid w:val="0011760E"/>
    <w:pPr>
      <w:keepNext/>
      <w:keepLines/>
      <w:spacing w:before="40"/>
      <w:outlineLvl w:val="1"/>
    </w:pPr>
    <w:rPr>
      <w:rFonts w:asciiTheme="majorHAnsi" w:eastAsiaTheme="majorEastAsia" w:hAnsiTheme="majorHAnsi" w:cstheme="majorBidi"/>
      <w:color w:val="365F91" w:themeColor="accent1" w:themeShade="BF"/>
      <w:sz w:val="26"/>
      <w:szCs w:val="26"/>
      <w:lang w:val="pl-PL"/>
    </w:rPr>
  </w:style>
  <w:style w:type="paragraph" w:styleId="Heading3">
    <w:name w:val="heading 3"/>
    <w:basedOn w:val="Normal"/>
    <w:next w:val="Normal"/>
    <w:link w:val="Heading3Char"/>
    <w:uiPriority w:val="9"/>
    <w:unhideWhenUsed/>
    <w:qFormat/>
    <w:rsid w:val="0011760E"/>
    <w:pPr>
      <w:keepNext/>
      <w:keepLines/>
      <w:spacing w:before="40"/>
      <w:outlineLvl w:val="2"/>
    </w:pPr>
    <w:rPr>
      <w:rFonts w:asciiTheme="majorHAnsi" w:eastAsiaTheme="majorEastAsia" w:hAnsiTheme="majorHAnsi" w:cstheme="majorBidi"/>
      <w:color w:val="243F60" w:themeColor="accent1" w:themeShade="7F"/>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0F4"/>
    <w:pPr>
      <w:tabs>
        <w:tab w:val="center" w:pos="4320"/>
        <w:tab w:val="right" w:pos="8640"/>
      </w:tabs>
    </w:pPr>
  </w:style>
  <w:style w:type="character" w:customStyle="1" w:styleId="HeaderChar">
    <w:name w:val="Header Char"/>
    <w:basedOn w:val="DefaultParagraphFont"/>
    <w:link w:val="Header"/>
    <w:uiPriority w:val="99"/>
    <w:rsid w:val="00D460F4"/>
  </w:style>
  <w:style w:type="paragraph" w:styleId="Footer">
    <w:name w:val="footer"/>
    <w:basedOn w:val="Normal"/>
    <w:link w:val="FooterChar"/>
    <w:uiPriority w:val="99"/>
    <w:unhideWhenUsed/>
    <w:rsid w:val="00D460F4"/>
    <w:pPr>
      <w:tabs>
        <w:tab w:val="center" w:pos="4320"/>
        <w:tab w:val="right" w:pos="8640"/>
      </w:tabs>
    </w:pPr>
  </w:style>
  <w:style w:type="character" w:customStyle="1" w:styleId="FooterChar">
    <w:name w:val="Footer Char"/>
    <w:basedOn w:val="DefaultParagraphFont"/>
    <w:link w:val="Footer"/>
    <w:uiPriority w:val="99"/>
    <w:rsid w:val="00D460F4"/>
  </w:style>
  <w:style w:type="paragraph" w:styleId="BalloonText">
    <w:name w:val="Balloon Text"/>
    <w:basedOn w:val="Normal"/>
    <w:link w:val="BalloonTextChar"/>
    <w:uiPriority w:val="99"/>
    <w:semiHidden/>
    <w:unhideWhenUsed/>
    <w:rsid w:val="00D460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0F4"/>
    <w:rPr>
      <w:rFonts w:ascii="Lucida Grande" w:hAnsi="Lucida Grande" w:cs="Lucida Grande"/>
      <w:sz w:val="18"/>
      <w:szCs w:val="18"/>
    </w:rPr>
  </w:style>
  <w:style w:type="paragraph" w:styleId="BodyText">
    <w:name w:val="Body Text"/>
    <w:basedOn w:val="Normal"/>
    <w:link w:val="BodyTextChar"/>
    <w:uiPriority w:val="1"/>
    <w:qFormat/>
    <w:rsid w:val="00D91F9E"/>
    <w:pPr>
      <w:widowControl w:val="0"/>
      <w:autoSpaceDE w:val="0"/>
      <w:autoSpaceDN w:val="0"/>
      <w:ind w:left="20"/>
    </w:pPr>
    <w:rPr>
      <w:rFonts w:ascii="Arial" w:eastAsia="Arial" w:hAnsi="Arial" w:cs="Arial"/>
      <w:sz w:val="18"/>
      <w:szCs w:val="18"/>
    </w:rPr>
  </w:style>
  <w:style w:type="character" w:customStyle="1" w:styleId="BodyTextChar">
    <w:name w:val="Body Text Char"/>
    <w:basedOn w:val="DefaultParagraphFont"/>
    <w:link w:val="BodyText"/>
    <w:uiPriority w:val="1"/>
    <w:rsid w:val="00D91F9E"/>
    <w:rPr>
      <w:rFonts w:ascii="Arial" w:eastAsia="Arial" w:hAnsi="Arial" w:cs="Arial"/>
      <w:sz w:val="18"/>
      <w:szCs w:val="18"/>
    </w:rPr>
  </w:style>
  <w:style w:type="character" w:customStyle="1" w:styleId="Heading1Char">
    <w:name w:val="Heading 1 Char"/>
    <w:basedOn w:val="DefaultParagraphFont"/>
    <w:link w:val="Heading1"/>
    <w:uiPriority w:val="9"/>
    <w:rsid w:val="0011760E"/>
    <w:rPr>
      <w:rFonts w:asciiTheme="majorHAnsi" w:eastAsiaTheme="majorEastAsia" w:hAnsiTheme="majorHAnsi" w:cstheme="majorBidi"/>
      <w:color w:val="365F91" w:themeColor="accent1" w:themeShade="BF"/>
      <w:sz w:val="32"/>
      <w:szCs w:val="32"/>
      <w:lang w:val="pl-PL"/>
    </w:rPr>
  </w:style>
  <w:style w:type="character" w:customStyle="1" w:styleId="Heading2Char">
    <w:name w:val="Heading 2 Char"/>
    <w:basedOn w:val="DefaultParagraphFont"/>
    <w:link w:val="Heading2"/>
    <w:uiPriority w:val="9"/>
    <w:rsid w:val="0011760E"/>
    <w:rPr>
      <w:rFonts w:asciiTheme="majorHAnsi" w:eastAsiaTheme="majorEastAsia" w:hAnsiTheme="majorHAnsi" w:cstheme="majorBidi"/>
      <w:color w:val="365F91" w:themeColor="accent1" w:themeShade="BF"/>
      <w:sz w:val="26"/>
      <w:szCs w:val="26"/>
      <w:lang w:val="pl-PL"/>
    </w:rPr>
  </w:style>
  <w:style w:type="character" w:customStyle="1" w:styleId="Heading3Char">
    <w:name w:val="Heading 3 Char"/>
    <w:basedOn w:val="DefaultParagraphFont"/>
    <w:link w:val="Heading3"/>
    <w:uiPriority w:val="9"/>
    <w:rsid w:val="0011760E"/>
    <w:rPr>
      <w:rFonts w:asciiTheme="majorHAnsi" w:eastAsiaTheme="majorEastAsia" w:hAnsiTheme="majorHAnsi" w:cstheme="majorBidi"/>
      <w:color w:val="243F60" w:themeColor="accent1" w:themeShade="7F"/>
      <w:lang w:val="pl-PL"/>
    </w:rPr>
  </w:style>
  <w:style w:type="character" w:styleId="Hyperlink">
    <w:name w:val="Hyperlink"/>
    <w:basedOn w:val="DefaultParagraphFont"/>
    <w:uiPriority w:val="99"/>
    <w:unhideWhenUsed/>
    <w:rsid w:val="0011760E"/>
    <w:rPr>
      <w:color w:val="0563C1"/>
      <w:u w:val="single"/>
    </w:rPr>
  </w:style>
  <w:style w:type="paragraph" w:styleId="ListParagraph">
    <w:name w:val="List Paragraph"/>
    <w:basedOn w:val="Normal"/>
    <w:uiPriority w:val="34"/>
    <w:qFormat/>
    <w:rsid w:val="0011760E"/>
    <w:pPr>
      <w:ind w:left="720"/>
    </w:pPr>
    <w:rPr>
      <w:rFonts w:ascii="Calibri" w:eastAsiaTheme="minorHAnsi" w:hAnsi="Calibri" w:cs="Calibr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gislacja.rcl.gov.pl/docs//2/12322050/12601974/12601975/dokument42210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Dynamic Pear</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Levy</dc:creator>
  <cp:lastModifiedBy>Badiani, Sona</cp:lastModifiedBy>
  <cp:revision>2</cp:revision>
  <cp:lastPrinted>2016-12-22T11:12:00Z</cp:lastPrinted>
  <dcterms:created xsi:type="dcterms:W3CDTF">2019-11-04T15:46:00Z</dcterms:created>
  <dcterms:modified xsi:type="dcterms:W3CDTF">2019-11-04T15:46:00Z</dcterms:modified>
</cp:coreProperties>
</file>